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36"/>
          <w:szCs w:val="28"/>
          <w:highlight w:val="none"/>
        </w:rPr>
      </w:pPr>
    </w:p>
    <w:p>
      <w:pPr>
        <w:spacing w:line="360" w:lineRule="auto"/>
        <w:jc w:val="center"/>
        <w:rPr>
          <w:rFonts w:ascii="宋体" w:hAnsi="宋体"/>
          <w:b/>
          <w:bCs/>
          <w:sz w:val="36"/>
          <w:szCs w:val="28"/>
          <w:highlight w:val="none"/>
        </w:rPr>
      </w:pPr>
    </w:p>
    <w:p>
      <w:pPr>
        <w:spacing w:line="360" w:lineRule="auto"/>
        <w:jc w:val="center"/>
        <w:rPr>
          <w:rFonts w:ascii="宋体" w:hAnsi="宋体"/>
          <w:sz w:val="56"/>
          <w:szCs w:val="24"/>
          <w:highlight w:val="none"/>
        </w:rPr>
      </w:pPr>
      <w:r>
        <w:rPr>
          <w:rFonts w:hint="eastAsia" w:ascii="宋体" w:hAnsi="宋体" w:cs="宋体"/>
          <w:b/>
          <w:bCs/>
          <w:sz w:val="40"/>
          <w:szCs w:val="40"/>
          <w:highlight w:val="none"/>
        </w:rPr>
        <w:t>项目名称：</w:t>
      </w:r>
      <w:r>
        <w:rPr>
          <w:rFonts w:hint="eastAsia" w:ascii="宋体" w:hAnsi="宋体" w:cs="宋体"/>
          <w:b/>
          <w:bCs/>
          <w:sz w:val="40"/>
          <w:szCs w:val="40"/>
          <w:highlight w:val="none"/>
          <w:lang w:val="en-US" w:eastAsia="zh-CN"/>
        </w:rPr>
        <w:t>数据治理</w:t>
      </w:r>
      <w:r>
        <w:rPr>
          <w:rFonts w:hint="eastAsia" w:ascii="宋体" w:hAnsi="宋体" w:cs="宋体"/>
          <w:b/>
          <w:bCs/>
          <w:sz w:val="40"/>
          <w:szCs w:val="40"/>
          <w:highlight w:val="none"/>
          <w:lang w:eastAsia="zh-Hans"/>
        </w:rPr>
        <w:t>服务项目</w:t>
      </w:r>
    </w:p>
    <w:p>
      <w:pPr>
        <w:spacing w:line="360" w:lineRule="auto"/>
        <w:ind w:firstLine="539"/>
        <w:rPr>
          <w:rFonts w:ascii="宋体" w:hAnsi="宋体"/>
          <w:sz w:val="72"/>
          <w:highlight w:val="none"/>
        </w:rPr>
      </w:pPr>
    </w:p>
    <w:p>
      <w:pPr>
        <w:pStyle w:val="38"/>
        <w:ind w:firstLine="480"/>
        <w:rPr>
          <w:highlight w:val="none"/>
        </w:rPr>
      </w:pPr>
    </w:p>
    <w:p>
      <w:pPr>
        <w:spacing w:line="360" w:lineRule="auto"/>
        <w:ind w:firstLine="540"/>
        <w:jc w:val="center"/>
        <w:rPr>
          <w:rFonts w:ascii="宋体" w:hAnsi="宋体"/>
          <w:b/>
          <w:sz w:val="72"/>
          <w:highlight w:val="none"/>
        </w:rPr>
      </w:pPr>
      <w:r>
        <w:rPr>
          <w:rFonts w:hint="eastAsia" w:ascii="宋体" w:hAnsi="宋体"/>
          <w:sz w:val="72"/>
          <w:highlight w:val="none"/>
        </w:rPr>
        <w:t>竞争性磋商文件</w:t>
      </w:r>
    </w:p>
    <w:p>
      <w:pPr>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竞争性磋商编号：STJH-</w:t>
      </w:r>
      <w:r>
        <w:rPr>
          <w:rFonts w:hint="eastAsia" w:ascii="宋体" w:hAnsi="宋体" w:cs="宋体"/>
          <w:sz w:val="30"/>
          <w:szCs w:val="30"/>
          <w:highlight w:val="none"/>
          <w:lang w:val="en-US" w:eastAsia="zh-CN"/>
        </w:rPr>
        <w:t>24001</w:t>
      </w:r>
    </w:p>
    <w:p>
      <w:pPr>
        <w:pStyle w:val="37"/>
        <w:ind w:firstLine="300"/>
        <w:rPr>
          <w:rFonts w:ascii="宋体" w:hAnsi="宋体" w:cs="宋体"/>
          <w:sz w:val="30"/>
          <w:szCs w:val="30"/>
          <w:highlight w:val="none"/>
        </w:rPr>
      </w:pPr>
    </w:p>
    <w:p>
      <w:pPr>
        <w:pStyle w:val="37"/>
        <w:ind w:firstLine="300"/>
        <w:rPr>
          <w:rFonts w:ascii="宋体" w:hAnsi="宋体" w:cs="宋体"/>
          <w:sz w:val="30"/>
          <w:szCs w:val="30"/>
          <w:highlight w:val="none"/>
        </w:rPr>
      </w:pPr>
    </w:p>
    <w:p>
      <w:pPr>
        <w:spacing w:line="360" w:lineRule="auto"/>
        <w:rPr>
          <w:rFonts w:ascii="宋体" w:hAnsi="宋体"/>
          <w:sz w:val="48"/>
          <w:highlight w:val="none"/>
        </w:rPr>
      </w:pPr>
    </w:p>
    <w:p>
      <w:pPr>
        <w:spacing w:line="360" w:lineRule="auto"/>
        <w:rPr>
          <w:rFonts w:ascii="宋体" w:hAnsi="宋体"/>
          <w:sz w:val="48"/>
          <w:highlight w:val="none"/>
        </w:rPr>
      </w:pPr>
    </w:p>
    <w:p>
      <w:pPr>
        <w:spacing w:line="360" w:lineRule="auto"/>
        <w:jc w:val="center"/>
        <w:rPr>
          <w:rFonts w:ascii="宋体" w:hAnsi="宋体"/>
          <w:sz w:val="36"/>
          <w:highlight w:val="none"/>
        </w:rPr>
      </w:pPr>
      <w:r>
        <w:rPr>
          <w:rFonts w:hint="eastAsia" w:ascii="宋体" w:hAnsi="宋体"/>
          <w:sz w:val="36"/>
          <w:highlight w:val="none"/>
        </w:rPr>
        <w:t>江西省水投江河信息技术有限公司</w:t>
      </w:r>
    </w:p>
    <w:p>
      <w:pPr>
        <w:spacing w:line="360" w:lineRule="auto"/>
        <w:jc w:val="center"/>
        <w:rPr>
          <w:rFonts w:ascii="宋体" w:hAnsi="宋体"/>
          <w:sz w:val="36"/>
          <w:highlight w:val="none"/>
        </w:rPr>
      </w:pPr>
      <w:r>
        <w:rPr>
          <w:rFonts w:hint="eastAsia" w:ascii="宋体" w:hAnsi="宋体"/>
          <w:sz w:val="36"/>
          <w:highlight w:val="none"/>
        </w:rPr>
        <w:t>中国</w:t>
      </w:r>
      <w:r>
        <w:rPr>
          <w:rFonts w:ascii="宋体" w:hAnsi="宋体"/>
          <w:sz w:val="36"/>
          <w:highlight w:val="none"/>
        </w:rPr>
        <w:t xml:space="preserve"> </w:t>
      </w:r>
      <w:r>
        <w:rPr>
          <w:rFonts w:ascii="宋体" w:hAnsi="宋体"/>
          <w:sz w:val="24"/>
          <w:highlight w:val="none"/>
        </w:rPr>
        <w:sym w:font="Symbol" w:char="F0B7"/>
      </w:r>
      <w:r>
        <w:rPr>
          <w:rFonts w:ascii="宋体" w:hAnsi="宋体"/>
          <w:sz w:val="36"/>
          <w:highlight w:val="none"/>
        </w:rPr>
        <w:t xml:space="preserve"> </w:t>
      </w:r>
      <w:r>
        <w:rPr>
          <w:rFonts w:hint="eastAsia" w:ascii="宋体" w:hAnsi="宋体"/>
          <w:sz w:val="36"/>
          <w:highlight w:val="none"/>
        </w:rPr>
        <w:t>江西</w:t>
      </w:r>
    </w:p>
    <w:p>
      <w:pPr>
        <w:spacing w:line="360" w:lineRule="auto"/>
        <w:rPr>
          <w:rFonts w:ascii="宋体" w:hAnsi="宋体"/>
          <w:sz w:val="36"/>
          <w:highlight w:val="none"/>
        </w:rPr>
      </w:pPr>
    </w:p>
    <w:p>
      <w:pPr>
        <w:pStyle w:val="3"/>
        <w:rPr>
          <w:rFonts w:ascii="宋体" w:hAnsi="宋体"/>
          <w:sz w:val="36"/>
          <w:highlight w:val="none"/>
        </w:rPr>
      </w:pPr>
    </w:p>
    <w:p>
      <w:pPr>
        <w:rPr>
          <w:rFonts w:ascii="宋体" w:hAnsi="宋体"/>
          <w:sz w:val="36"/>
          <w:highlight w:val="none"/>
        </w:rPr>
      </w:pPr>
    </w:p>
    <w:p>
      <w:pPr>
        <w:pStyle w:val="37"/>
        <w:ind w:firstLine="210"/>
        <w:rPr>
          <w:highlight w:val="none"/>
        </w:rPr>
      </w:pPr>
    </w:p>
    <w:p>
      <w:pPr>
        <w:pStyle w:val="37"/>
        <w:ind w:firstLine="210"/>
        <w:rPr>
          <w:rFonts w:hint="eastAsia"/>
          <w:highlight w:val="none"/>
        </w:rPr>
      </w:pPr>
    </w:p>
    <w:p>
      <w:pPr>
        <w:rPr>
          <w:highlight w:val="none"/>
        </w:rPr>
      </w:pPr>
    </w:p>
    <w:p>
      <w:pPr>
        <w:rPr>
          <w:highlight w:val="none"/>
        </w:rPr>
      </w:pPr>
    </w:p>
    <w:p>
      <w:pPr>
        <w:adjustRightInd w:val="0"/>
        <w:snapToGrid w:val="0"/>
        <w:spacing w:line="360" w:lineRule="auto"/>
        <w:ind w:left="-2" w:firstLine="538"/>
        <w:jc w:val="center"/>
        <w:rPr>
          <w:rFonts w:ascii="宋体" w:hAnsi="宋体"/>
          <w:bCs/>
          <w:sz w:val="52"/>
          <w:highlight w:val="none"/>
        </w:rPr>
      </w:pPr>
      <w:r>
        <w:rPr>
          <w:rFonts w:hint="eastAsia" w:ascii="宋体" w:hAnsi="宋体"/>
          <w:bCs/>
          <w:sz w:val="52"/>
          <w:highlight w:val="none"/>
        </w:rPr>
        <w:t>目</w:t>
      </w:r>
      <w:r>
        <w:rPr>
          <w:rFonts w:ascii="宋体" w:hAnsi="宋体"/>
          <w:bCs/>
          <w:sz w:val="52"/>
          <w:highlight w:val="none"/>
        </w:rPr>
        <w:t xml:space="preserve">   </w:t>
      </w:r>
      <w:r>
        <w:rPr>
          <w:rFonts w:hint="eastAsia" w:ascii="宋体" w:hAnsi="宋体"/>
          <w:bCs/>
          <w:sz w:val="52"/>
          <w:highlight w:val="none"/>
        </w:rPr>
        <w:t>录</w:t>
      </w:r>
    </w:p>
    <w:p>
      <w:pPr>
        <w:pStyle w:val="28"/>
        <w:tabs>
          <w:tab w:val="right" w:leader="dot" w:pos="9071"/>
          <w:tab w:val="clear" w:pos="9629"/>
        </w:tabs>
        <w:ind w:firstLine="632"/>
        <w:rPr>
          <w:b/>
          <w:bCs w:val="0"/>
          <w:highlight w:val="none"/>
        </w:rPr>
      </w:pPr>
      <w:r>
        <w:rPr>
          <w:b/>
          <w:bCs w:val="0"/>
          <w:highlight w:val="none"/>
        </w:rPr>
        <w:fldChar w:fldCharType="begin"/>
      </w:r>
      <w:r>
        <w:rPr>
          <w:rStyle w:val="45"/>
          <w:b/>
          <w:bCs w:val="0"/>
          <w:color w:val="auto"/>
          <w:highlight w:val="none"/>
        </w:rPr>
        <w:instrText xml:space="preserve"> TOC \o "1-3" \h \z \u </w:instrText>
      </w:r>
      <w:r>
        <w:rPr>
          <w:b/>
          <w:bCs w:val="0"/>
          <w:highlight w:val="none"/>
        </w:rPr>
        <w:fldChar w:fldCharType="separate"/>
      </w:r>
      <w:r>
        <w:rPr>
          <w:highlight w:val="none"/>
        </w:rPr>
        <w:fldChar w:fldCharType="begin"/>
      </w:r>
      <w:r>
        <w:rPr>
          <w:highlight w:val="none"/>
        </w:rPr>
        <w:instrText xml:space="preserve"> HYPERLINK \l "_Toc10326" </w:instrText>
      </w:r>
      <w:r>
        <w:rPr>
          <w:highlight w:val="none"/>
        </w:rPr>
        <w:fldChar w:fldCharType="separate"/>
      </w:r>
      <w:r>
        <w:rPr>
          <w:rFonts w:hint="eastAsia"/>
          <w:b/>
          <w:bCs w:val="0"/>
          <w:szCs w:val="32"/>
          <w:highlight w:val="none"/>
        </w:rPr>
        <w:t>第一章　磋商公告</w:t>
      </w:r>
      <w:r>
        <w:rPr>
          <w:b/>
          <w:bCs w:val="0"/>
          <w:highlight w:val="none"/>
        </w:rPr>
        <w:tab/>
      </w:r>
      <w:r>
        <w:rPr>
          <w:b/>
          <w:bCs w:val="0"/>
          <w:highlight w:val="none"/>
        </w:rPr>
        <w:fldChar w:fldCharType="begin"/>
      </w:r>
      <w:r>
        <w:rPr>
          <w:b/>
          <w:bCs w:val="0"/>
          <w:highlight w:val="none"/>
        </w:rPr>
        <w:instrText xml:space="preserve"> PAGEREF _Toc10326 </w:instrText>
      </w:r>
      <w:r>
        <w:rPr>
          <w:b/>
          <w:bCs w:val="0"/>
          <w:highlight w:val="none"/>
        </w:rPr>
        <w:fldChar w:fldCharType="separate"/>
      </w:r>
      <w:r>
        <w:rPr>
          <w:b/>
          <w:bCs w:val="0"/>
          <w:highlight w:val="none"/>
        </w:rPr>
        <w:t>1</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"_Toc4371" </w:instrText>
      </w:r>
      <w:r>
        <w:rPr>
          <w:highlight w:val="none"/>
        </w:rPr>
        <w:fldChar w:fldCharType="separate"/>
      </w:r>
      <w:r>
        <w:rPr>
          <w:rFonts w:hint="eastAsia"/>
          <w:b/>
          <w:bCs w:val="0"/>
          <w:highlight w:val="none"/>
        </w:rPr>
        <w:t>第二章　供应商须知</w:t>
      </w:r>
      <w:r>
        <w:rPr>
          <w:b/>
          <w:bCs w:val="0"/>
          <w:highlight w:val="none"/>
        </w:rPr>
        <w:tab/>
      </w:r>
      <w:r>
        <w:rPr>
          <w:b/>
          <w:bCs w:val="0"/>
          <w:highlight w:val="none"/>
        </w:rPr>
        <w:fldChar w:fldCharType="begin"/>
      </w:r>
      <w:r>
        <w:rPr>
          <w:b/>
          <w:bCs w:val="0"/>
          <w:highlight w:val="none"/>
        </w:rPr>
        <w:instrText xml:space="preserve"> PAGEREF _Toc4371 </w:instrText>
      </w:r>
      <w:r>
        <w:rPr>
          <w:b/>
          <w:bCs w:val="0"/>
          <w:highlight w:val="none"/>
        </w:rPr>
        <w:fldChar w:fldCharType="separate"/>
      </w:r>
      <w:r>
        <w:rPr>
          <w:b/>
          <w:bCs w:val="0"/>
          <w:highlight w:val="none"/>
        </w:rPr>
        <w:t>2</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"_Toc26030" </w:instrText>
      </w:r>
      <w:r>
        <w:rPr>
          <w:highlight w:val="none"/>
        </w:rPr>
        <w:fldChar w:fldCharType="separate"/>
      </w:r>
      <w:r>
        <w:rPr>
          <w:b/>
          <w:bCs w:val="0"/>
          <w:highlight w:val="none"/>
        </w:rPr>
        <w:t xml:space="preserve">第三章 </w:t>
      </w:r>
      <w:r>
        <w:rPr>
          <w:rFonts w:hint="eastAsia"/>
          <w:b/>
          <w:bCs w:val="0"/>
          <w:highlight w:val="none"/>
        </w:rPr>
        <w:t>合同主要条款</w:t>
      </w:r>
      <w:r>
        <w:rPr>
          <w:b/>
          <w:bCs w:val="0"/>
          <w:highlight w:val="none"/>
        </w:rPr>
        <w:tab/>
      </w:r>
      <w:r>
        <w:rPr>
          <w:b/>
          <w:bCs w:val="0"/>
          <w:highlight w:val="none"/>
        </w:rPr>
        <w:fldChar w:fldCharType="begin"/>
      </w:r>
      <w:r>
        <w:rPr>
          <w:b/>
          <w:bCs w:val="0"/>
          <w:highlight w:val="none"/>
        </w:rPr>
        <w:instrText xml:space="preserve"> PAGEREF _Toc26030 </w:instrText>
      </w:r>
      <w:r>
        <w:rPr>
          <w:b/>
          <w:bCs w:val="0"/>
          <w:highlight w:val="none"/>
        </w:rPr>
        <w:fldChar w:fldCharType="separate"/>
      </w:r>
      <w:r>
        <w:rPr>
          <w:b/>
          <w:bCs w:val="0"/>
          <w:highlight w:val="none"/>
        </w:rPr>
        <w:t>10</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"_Toc26433" </w:instrText>
      </w:r>
      <w:r>
        <w:rPr>
          <w:highlight w:val="none"/>
        </w:rPr>
        <w:fldChar w:fldCharType="separate"/>
      </w:r>
      <w:r>
        <w:rPr>
          <w:rFonts w:hint="eastAsia"/>
          <w:b/>
          <w:bCs w:val="0"/>
          <w:szCs w:val="32"/>
          <w:highlight w:val="none"/>
        </w:rPr>
        <w:t>第四章  附件（磋商响应文件格式）</w:t>
      </w:r>
      <w:r>
        <w:rPr>
          <w:b/>
          <w:bCs w:val="0"/>
          <w:highlight w:val="none"/>
        </w:rPr>
        <w:tab/>
      </w:r>
      <w:r>
        <w:rPr>
          <w:b/>
          <w:bCs w:val="0"/>
          <w:highlight w:val="none"/>
        </w:rPr>
        <w:fldChar w:fldCharType="begin"/>
      </w:r>
      <w:r>
        <w:rPr>
          <w:b/>
          <w:bCs w:val="0"/>
          <w:highlight w:val="none"/>
        </w:rPr>
        <w:instrText xml:space="preserve"> PAGEREF _Toc26433 </w:instrText>
      </w:r>
      <w:r>
        <w:rPr>
          <w:b/>
          <w:bCs w:val="0"/>
          <w:highlight w:val="none"/>
        </w:rPr>
        <w:fldChar w:fldCharType="separate"/>
      </w:r>
      <w:r>
        <w:rPr>
          <w:b/>
          <w:bCs w:val="0"/>
          <w:highlight w:val="none"/>
        </w:rPr>
        <w:t>18</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"_Toc9094" </w:instrText>
      </w:r>
      <w:r>
        <w:rPr>
          <w:highlight w:val="none"/>
        </w:rPr>
        <w:fldChar w:fldCharType="separate"/>
      </w:r>
      <w:r>
        <w:rPr>
          <w:rFonts w:hint="eastAsia"/>
          <w:b/>
          <w:bCs w:val="0"/>
          <w:highlight w:val="none"/>
        </w:rPr>
        <w:t>第五章　采购项目服务需求</w:t>
      </w:r>
      <w:r>
        <w:rPr>
          <w:b/>
          <w:bCs w:val="0"/>
          <w:highlight w:val="none"/>
        </w:rPr>
        <w:tab/>
      </w:r>
      <w:r>
        <w:rPr>
          <w:b/>
          <w:bCs w:val="0"/>
          <w:highlight w:val="none"/>
        </w:rPr>
        <w:fldChar w:fldCharType="begin"/>
      </w:r>
      <w:r>
        <w:rPr>
          <w:b/>
          <w:bCs w:val="0"/>
          <w:highlight w:val="none"/>
        </w:rPr>
        <w:instrText xml:space="preserve"> PAGEREF _Toc9094 </w:instrText>
      </w:r>
      <w:r>
        <w:rPr>
          <w:b/>
          <w:bCs w:val="0"/>
          <w:highlight w:val="none"/>
        </w:rPr>
        <w:fldChar w:fldCharType="separate"/>
      </w:r>
      <w:r>
        <w:rPr>
          <w:b/>
          <w:bCs w:val="0"/>
          <w:highlight w:val="none"/>
        </w:rPr>
        <w:t>25</w:t>
      </w:r>
      <w:r>
        <w:rPr>
          <w:b/>
          <w:bCs w:val="0"/>
          <w:highlight w:val="none"/>
        </w:rPr>
        <w:fldChar w:fldCharType="end"/>
      </w:r>
      <w:r>
        <w:rPr>
          <w:b/>
          <w:bCs w:val="0"/>
          <w:highlight w:val="none"/>
        </w:rPr>
        <w:fldChar w:fldCharType="end"/>
      </w:r>
    </w:p>
    <w:p>
      <w:pPr>
        <w:pStyle w:val="28"/>
        <w:tabs>
          <w:tab w:val="right" w:leader="dot" w:pos="9071"/>
          <w:tab w:val="clear" w:pos="9629"/>
        </w:tabs>
        <w:rPr>
          <w:b/>
          <w:bCs w:val="0"/>
          <w:highlight w:val="none"/>
        </w:rPr>
      </w:pPr>
      <w:r>
        <w:rPr>
          <w:highlight w:val="none"/>
        </w:rPr>
        <w:fldChar w:fldCharType="begin"/>
      </w:r>
      <w:r>
        <w:rPr>
          <w:highlight w:val="none"/>
        </w:rPr>
        <w:instrText xml:space="preserve"> HYPERLINK \l "_Toc29876" </w:instrText>
      </w:r>
      <w:r>
        <w:rPr>
          <w:highlight w:val="none"/>
        </w:rPr>
        <w:fldChar w:fldCharType="separate"/>
      </w:r>
      <w:r>
        <w:rPr>
          <w:rFonts w:hint="eastAsia"/>
          <w:b/>
          <w:bCs w:val="0"/>
          <w:szCs w:val="32"/>
          <w:highlight w:val="none"/>
        </w:rPr>
        <w:t>第六章  评审标准</w:t>
      </w:r>
      <w:r>
        <w:rPr>
          <w:b/>
          <w:bCs w:val="0"/>
          <w:highlight w:val="none"/>
        </w:rPr>
        <w:tab/>
      </w:r>
      <w:r>
        <w:rPr>
          <w:b/>
          <w:bCs w:val="0"/>
          <w:highlight w:val="none"/>
        </w:rPr>
        <w:fldChar w:fldCharType="begin"/>
      </w:r>
      <w:r>
        <w:rPr>
          <w:b/>
          <w:bCs w:val="0"/>
          <w:highlight w:val="none"/>
        </w:rPr>
        <w:instrText xml:space="preserve"> PAGEREF _Toc29876 </w:instrText>
      </w:r>
      <w:r>
        <w:rPr>
          <w:b/>
          <w:bCs w:val="0"/>
          <w:highlight w:val="none"/>
        </w:rPr>
        <w:fldChar w:fldCharType="separate"/>
      </w:r>
      <w:r>
        <w:rPr>
          <w:b/>
          <w:bCs w:val="0"/>
          <w:highlight w:val="none"/>
        </w:rPr>
        <w:t>35</w:t>
      </w:r>
      <w:r>
        <w:rPr>
          <w:b/>
          <w:bCs w:val="0"/>
          <w:highlight w:val="none"/>
        </w:rPr>
        <w:fldChar w:fldCharType="end"/>
      </w:r>
      <w:r>
        <w:rPr>
          <w:b/>
          <w:bCs w:val="0"/>
          <w:highlight w:val="none"/>
        </w:rPr>
        <w:fldChar w:fldCharType="end"/>
      </w:r>
    </w:p>
    <w:p>
      <w:pPr>
        <w:pStyle w:val="32"/>
        <w:spacing w:line="360" w:lineRule="auto"/>
        <w:ind w:left="0"/>
        <w:rPr>
          <w:b/>
          <w:sz w:val="32"/>
          <w:szCs w:val="32"/>
          <w:highlight w:val="none"/>
        </w:rPr>
        <w:sectPr>
          <w:headerReference r:id="rId3" w:type="default"/>
          <w:footerReference r:id="rId4" w:type="even"/>
          <w:pgSz w:w="11907" w:h="16840"/>
          <w:pgMar w:top="1418" w:right="1418" w:bottom="1418" w:left="1418" w:header="720" w:footer="720" w:gutter="0"/>
          <w:pgNumType w:start="1"/>
          <w:cols w:space="720" w:num="1"/>
          <w:docGrid w:linePitch="285" w:charSpace="0"/>
        </w:sectPr>
      </w:pPr>
      <w:r>
        <w:rPr>
          <w:b/>
          <w:caps/>
          <w:smallCaps w:val="0"/>
          <w:highlight w:val="none"/>
        </w:rPr>
        <w:fldChar w:fldCharType="end"/>
      </w:r>
      <w:bookmarkStart w:id="0" w:name="_Toc10326"/>
    </w:p>
    <w:p>
      <w:pPr>
        <w:pStyle w:val="32"/>
        <w:spacing w:line="360" w:lineRule="auto"/>
        <w:ind w:left="0"/>
        <w:outlineLvl w:val="0"/>
        <w:rPr>
          <w:highlight w:val="none"/>
        </w:rPr>
      </w:pPr>
      <w:r>
        <w:rPr>
          <w:rFonts w:hint="eastAsia"/>
          <w:b/>
          <w:sz w:val="32"/>
          <w:szCs w:val="32"/>
          <w:highlight w:val="none"/>
        </w:rPr>
        <w:t>第一章　磋商公告</w:t>
      </w:r>
      <w:bookmarkEnd w:id="0"/>
    </w:p>
    <w:p>
      <w:pPr>
        <w:spacing w:line="360" w:lineRule="auto"/>
        <w:ind w:firstLine="480" w:firstLineChars="200"/>
        <w:rPr>
          <w:rFonts w:ascii="宋体" w:hAnsi="宋体"/>
          <w:sz w:val="24"/>
          <w:szCs w:val="24"/>
          <w:highlight w:val="none"/>
          <w:u w:val="single"/>
        </w:rPr>
      </w:pPr>
      <w:bookmarkStart w:id="1" w:name="OLE_LINK1"/>
      <w:r>
        <w:rPr>
          <w:rFonts w:hint="eastAsia" w:ascii="宋体" w:hAnsi="宋体"/>
          <w:sz w:val="24"/>
          <w:szCs w:val="24"/>
          <w:highlight w:val="none"/>
        </w:rPr>
        <w:t>本次采购项目</w:t>
      </w:r>
      <w:r>
        <w:rPr>
          <w:rFonts w:hint="eastAsia" w:ascii="宋体" w:hAnsi="宋体"/>
          <w:sz w:val="24"/>
          <w:szCs w:val="24"/>
          <w:highlight w:val="none"/>
          <w:u w:val="single"/>
          <w:lang w:val="en-US" w:eastAsia="zh-CN"/>
        </w:rPr>
        <w:t>数据治理</w:t>
      </w:r>
      <w:r>
        <w:rPr>
          <w:rFonts w:hint="eastAsia" w:ascii="宋体" w:hAnsi="宋体"/>
          <w:sz w:val="24"/>
          <w:szCs w:val="24"/>
          <w:highlight w:val="none"/>
          <w:u w:val="single"/>
          <w:lang w:eastAsia="zh-Hans"/>
        </w:rPr>
        <w:t>服务项目</w:t>
      </w:r>
      <w:r>
        <w:rPr>
          <w:rFonts w:hint="eastAsia" w:ascii="宋体" w:hAnsi="宋体"/>
          <w:sz w:val="24"/>
          <w:szCs w:val="24"/>
          <w:highlight w:val="none"/>
        </w:rPr>
        <w:t>，采购人为</w:t>
      </w:r>
      <w:r>
        <w:rPr>
          <w:rFonts w:hint="eastAsia" w:ascii="宋体" w:hAnsi="宋体"/>
          <w:sz w:val="24"/>
          <w:szCs w:val="24"/>
          <w:highlight w:val="none"/>
          <w:u w:val="single"/>
        </w:rPr>
        <w:t>江西省水投江河信息技术有限公司</w:t>
      </w:r>
      <w:r>
        <w:rPr>
          <w:rFonts w:hint="eastAsia" w:ascii="宋体" w:hAnsi="宋体"/>
          <w:sz w:val="24"/>
          <w:szCs w:val="24"/>
          <w:highlight w:val="none"/>
        </w:rPr>
        <w:t>，现就其所需的服务项目采取竞争性磋商方式采购，欢迎符合资格要求的供应商参与本次磋商。</w:t>
      </w:r>
    </w:p>
    <w:p>
      <w:pPr>
        <w:spacing w:line="360" w:lineRule="auto"/>
        <w:rPr>
          <w:rFonts w:ascii="宋体" w:hAnsi="宋体"/>
          <w:sz w:val="24"/>
          <w:szCs w:val="24"/>
          <w:highlight w:val="none"/>
        </w:rPr>
      </w:pPr>
      <w:r>
        <w:rPr>
          <w:rFonts w:hint="eastAsia" w:ascii="宋体" w:hAnsi="宋体"/>
          <w:sz w:val="24"/>
          <w:szCs w:val="24"/>
          <w:highlight w:val="none"/>
        </w:rPr>
        <w:t>1、竞争性磋商编号：</w:t>
      </w:r>
      <w:r>
        <w:rPr>
          <w:rFonts w:hint="eastAsia" w:ascii="宋体" w:hAnsi="宋体"/>
          <w:sz w:val="24"/>
          <w:szCs w:val="24"/>
          <w:highlight w:val="none"/>
          <w:lang w:val="en-US" w:eastAsia="zh-CN"/>
        </w:rPr>
        <w:t>STJH-24001</w:t>
      </w:r>
      <w:r>
        <w:rPr>
          <w:rFonts w:hint="eastAsia" w:ascii="宋体" w:hAnsi="宋体"/>
          <w:sz w:val="24"/>
          <w:szCs w:val="24"/>
          <w:highlight w:val="none"/>
        </w:rPr>
        <w:t>；</w:t>
      </w:r>
    </w:p>
    <w:p>
      <w:pPr>
        <w:spacing w:line="360" w:lineRule="auto"/>
        <w:ind w:left="2520" w:hanging="2520" w:hangingChars="105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u w:val="single"/>
          <w:lang w:val="en-US" w:eastAsia="zh-CN"/>
        </w:rPr>
        <w:t>数据治理</w:t>
      </w:r>
      <w:r>
        <w:rPr>
          <w:rFonts w:hint="eastAsia" w:ascii="宋体" w:hAnsi="宋体"/>
          <w:sz w:val="24"/>
          <w:szCs w:val="24"/>
          <w:highlight w:val="none"/>
          <w:u w:val="single"/>
          <w:lang w:eastAsia="zh-Hans"/>
        </w:rPr>
        <w:t>服务项目</w:t>
      </w:r>
      <w:r>
        <w:rPr>
          <w:rFonts w:hint="eastAsia" w:ascii="宋体" w:hAnsi="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rPr>
        <w:t>3、建设周期：</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个月</w:t>
      </w:r>
      <w:r>
        <w:rPr>
          <w:rFonts w:hint="eastAsia" w:ascii="宋体" w:hAnsi="宋体"/>
          <w:sz w:val="24"/>
          <w:szCs w:val="24"/>
          <w:highlight w:val="none"/>
        </w:rPr>
        <w:t>。</w:t>
      </w:r>
    </w:p>
    <w:p>
      <w:pPr>
        <w:spacing w:line="360" w:lineRule="auto"/>
        <w:rPr>
          <w:rFonts w:ascii="宋体" w:hAnsi="宋体"/>
          <w:sz w:val="24"/>
          <w:szCs w:val="24"/>
          <w:highlight w:val="none"/>
        </w:rPr>
      </w:pPr>
      <w:r>
        <w:rPr>
          <w:rFonts w:hint="eastAsia" w:ascii="宋体" w:hAnsi="宋体"/>
          <w:sz w:val="24"/>
          <w:szCs w:val="24"/>
          <w:highlight w:val="none"/>
        </w:rPr>
        <w:t>4、采购内容：</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序号</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名称</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规格型号及主要技术参数</w:t>
            </w:r>
          </w:p>
        </w:tc>
        <w:tc>
          <w:tcPr>
            <w:tcW w:w="34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单位</w:t>
            </w:r>
          </w:p>
        </w:tc>
        <w:tc>
          <w:tcPr>
            <w:tcW w:w="38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数量</w:t>
            </w:r>
          </w:p>
        </w:tc>
        <w:tc>
          <w:tcPr>
            <w:tcW w:w="787"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预算金额</w:t>
            </w:r>
          </w:p>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w:t>
            </w:r>
            <w:r>
              <w:rPr>
                <w:rFonts w:hint="eastAsia" w:ascii="宋体" w:hAnsi="宋体" w:cs="宋体"/>
                <w:kern w:val="0"/>
                <w:szCs w:val="21"/>
                <w:highlight w:val="none"/>
              </w:rPr>
              <w:t>万</w:t>
            </w:r>
            <w:r>
              <w:rPr>
                <w:rFonts w:ascii="宋体" w:hAnsi="宋体" w:cs="宋体"/>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1</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lang w:eastAsia="zh-Hans"/>
              </w:rPr>
            </w:pPr>
            <w:r>
              <w:rPr>
                <w:rFonts w:hint="eastAsia" w:ascii="宋体" w:hAnsi="宋体" w:cs="宋体"/>
                <w:kern w:val="0"/>
                <w:szCs w:val="21"/>
                <w:highlight w:val="none"/>
                <w:lang w:val="en-US" w:eastAsia="zh-CN"/>
              </w:rPr>
              <w:t>数据治理</w:t>
            </w:r>
            <w:r>
              <w:rPr>
                <w:rFonts w:hint="eastAsia" w:ascii="宋体" w:hAnsi="宋体" w:cs="宋体"/>
                <w:kern w:val="0"/>
                <w:szCs w:val="21"/>
                <w:highlight w:val="none"/>
                <w:lang w:eastAsia="zh-Hans"/>
              </w:rPr>
              <w:t>服务项目</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highlight w:val="none"/>
              </w:rPr>
            </w:pPr>
            <w:r>
              <w:rPr>
                <w:rFonts w:ascii="宋体" w:hAnsi="宋体" w:cs="宋体"/>
                <w:kern w:val="0"/>
                <w:szCs w:val="21"/>
                <w:highlight w:val="none"/>
              </w:rPr>
              <w:t>详见采购项目服务需求</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highlight w:val="none"/>
              </w:rPr>
            </w:pPr>
            <w:r>
              <w:rPr>
                <w:rFonts w:ascii="宋体" w:hAnsi="宋体" w:cs="宋体"/>
                <w:szCs w:val="21"/>
                <w:highlight w:val="none"/>
              </w:rPr>
              <w:t>项</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highlight w:val="none"/>
              </w:rPr>
            </w:pPr>
            <w:r>
              <w:rPr>
                <w:rFonts w:ascii="宋体" w:hAnsi="宋体" w:cs="宋体"/>
                <w:kern w:val="0"/>
                <w:szCs w:val="21"/>
                <w:highlight w:val="none"/>
              </w:rPr>
              <w:t>1</w:t>
            </w:r>
          </w:p>
        </w:tc>
        <w:tc>
          <w:tcPr>
            <w:tcW w:w="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198</w:t>
            </w:r>
          </w:p>
        </w:tc>
      </w:tr>
    </w:tbl>
    <w:p>
      <w:pPr>
        <w:rPr>
          <w:highlight w:val="none"/>
        </w:rPr>
      </w:pPr>
    </w:p>
    <w:p>
      <w:pPr>
        <w:spacing w:line="360" w:lineRule="auto"/>
        <w:rPr>
          <w:rFonts w:ascii="宋体" w:hAnsi="宋体"/>
          <w:sz w:val="24"/>
          <w:szCs w:val="24"/>
          <w:highlight w:val="none"/>
        </w:rPr>
      </w:pPr>
      <w:r>
        <w:rPr>
          <w:rFonts w:hint="eastAsia" w:ascii="宋体" w:hAnsi="宋体"/>
          <w:sz w:val="24"/>
          <w:szCs w:val="24"/>
          <w:highlight w:val="none"/>
        </w:rPr>
        <w:t>5、供应商的资格条件：</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1.满足《中华人民共和国政府采购法》第二十二条规定；</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1）具有独立承担民事责任的能力；</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2）具有良好的商业信誉和健全的财务会计制度；</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3）具有履行合同所必需的设备和专业技术能力；</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4）具有依法缴纳税收和社会保障资金的良好记录；</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5）参加政府采购活动前三年内，在经营活动中没有重大违法记录；</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6）法律、行政法规规定的其他条件：无</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2.本次招标不接受联合体投标。</w:t>
      </w:r>
    </w:p>
    <w:p>
      <w:pPr>
        <w:spacing w:line="360" w:lineRule="auto"/>
        <w:rPr>
          <w:rFonts w:ascii="宋体" w:hAnsi="宋体"/>
          <w:bCs/>
          <w:sz w:val="24"/>
          <w:szCs w:val="24"/>
          <w:highlight w:val="none"/>
        </w:rPr>
      </w:pPr>
      <w:r>
        <w:rPr>
          <w:rFonts w:hint="eastAsia" w:ascii="宋体" w:hAnsi="宋体"/>
          <w:bCs/>
          <w:sz w:val="24"/>
          <w:szCs w:val="24"/>
          <w:highlight w:val="none"/>
        </w:rPr>
        <w:t>6、获取磋商文件的时间和期限、地点、方式</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文件获取方式：从202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日至202</w:t>
      </w:r>
      <w:r>
        <w:rPr>
          <w:rFonts w:ascii="宋体" w:hAnsi="宋体"/>
          <w:sz w:val="24"/>
          <w:szCs w:val="24"/>
          <w:highlight w:val="none"/>
        </w:rPr>
        <w:t>3</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日至公司官网下载。</w:t>
      </w:r>
    </w:p>
    <w:p>
      <w:pPr>
        <w:spacing w:line="360" w:lineRule="auto"/>
        <w:rPr>
          <w:rFonts w:ascii="宋体" w:hAnsi="宋体"/>
          <w:sz w:val="24"/>
          <w:szCs w:val="24"/>
          <w:highlight w:val="none"/>
        </w:rPr>
      </w:pPr>
      <w:r>
        <w:rPr>
          <w:rFonts w:hint="eastAsia" w:ascii="宋体" w:hAnsi="宋体"/>
          <w:sz w:val="24"/>
          <w:szCs w:val="24"/>
          <w:highlight w:val="none"/>
        </w:rPr>
        <w:t>7、竞争性磋商时间和磋商响应文件递交截止时间为</w:t>
      </w:r>
      <w:r>
        <w:rPr>
          <w:rFonts w:hint="eastAsia" w:ascii="宋体" w:hAnsi="宋体"/>
          <w:b/>
          <w:bCs/>
          <w:sz w:val="24"/>
          <w:szCs w:val="24"/>
          <w:highlight w:val="none"/>
        </w:rPr>
        <w:t>202</w:t>
      </w:r>
      <w:r>
        <w:rPr>
          <w:rFonts w:hint="eastAsia" w:ascii="宋体" w:hAnsi="宋体"/>
          <w:b/>
          <w:bCs/>
          <w:sz w:val="24"/>
          <w:szCs w:val="24"/>
          <w:highlight w:val="none"/>
          <w:lang w:val="en-US" w:eastAsia="zh-CN"/>
        </w:rPr>
        <w:t>4</w:t>
      </w:r>
      <w:r>
        <w:rPr>
          <w:rFonts w:hint="eastAsia" w:ascii="宋体" w:hAnsi="宋体"/>
          <w:b/>
          <w:bCs/>
          <w:sz w:val="24"/>
          <w:szCs w:val="24"/>
          <w:highlight w:val="none"/>
        </w:rPr>
        <w:t>年</w:t>
      </w:r>
      <w:r>
        <w:rPr>
          <w:rFonts w:hint="eastAsia" w:ascii="宋体" w:hAnsi="宋体"/>
          <w:b/>
          <w:bCs/>
          <w:sz w:val="24"/>
          <w:szCs w:val="24"/>
          <w:highlight w:val="none"/>
          <w:lang w:val="en-US" w:eastAsia="zh-CN"/>
        </w:rPr>
        <w:t>1</w:t>
      </w:r>
      <w:r>
        <w:rPr>
          <w:rFonts w:hint="eastAsia" w:ascii="宋体" w:hAnsi="宋体"/>
          <w:b/>
          <w:bCs/>
          <w:sz w:val="24"/>
          <w:szCs w:val="24"/>
          <w:highlight w:val="none"/>
        </w:rPr>
        <w:t>月</w:t>
      </w:r>
      <w:r>
        <w:rPr>
          <w:rFonts w:hint="eastAsia" w:ascii="宋体" w:hAnsi="宋体"/>
          <w:b/>
          <w:bCs/>
          <w:sz w:val="24"/>
          <w:szCs w:val="24"/>
          <w:highlight w:val="none"/>
          <w:lang w:val="en-US" w:eastAsia="zh-CN"/>
        </w:rPr>
        <w:t>9</w:t>
      </w:r>
      <w:r>
        <w:rPr>
          <w:rFonts w:hint="eastAsia" w:ascii="宋体" w:hAnsi="宋体"/>
          <w:b/>
          <w:bCs/>
          <w:sz w:val="24"/>
          <w:szCs w:val="24"/>
          <w:highlight w:val="none"/>
        </w:rPr>
        <w:t>日1</w:t>
      </w:r>
      <w:r>
        <w:rPr>
          <w:rFonts w:hint="eastAsia" w:ascii="宋体" w:hAnsi="宋体"/>
          <w:b/>
          <w:bCs/>
          <w:sz w:val="24"/>
          <w:szCs w:val="24"/>
          <w:highlight w:val="none"/>
          <w:lang w:val="en-US" w:eastAsia="zh-CN"/>
        </w:rPr>
        <w:t>0</w:t>
      </w:r>
      <w:r>
        <w:rPr>
          <w:rFonts w:hint="eastAsia" w:ascii="宋体" w:hAnsi="宋体"/>
          <w:b/>
          <w:bCs/>
          <w:sz w:val="24"/>
          <w:szCs w:val="24"/>
          <w:highlight w:val="none"/>
        </w:rPr>
        <w:t>时00分</w:t>
      </w:r>
      <w:r>
        <w:rPr>
          <w:rFonts w:hint="eastAsia" w:ascii="宋体" w:hAnsi="宋体"/>
          <w:sz w:val="24"/>
          <w:szCs w:val="24"/>
          <w:highlight w:val="none"/>
        </w:rPr>
        <w:t>（北京时间）。届时请供应商的法人或携带盖公章的授权委托函的代表参加。</w:t>
      </w:r>
    </w:p>
    <w:p>
      <w:pPr>
        <w:spacing w:line="360" w:lineRule="auto"/>
        <w:rPr>
          <w:highlight w:val="none"/>
        </w:rPr>
      </w:pPr>
      <w:r>
        <w:rPr>
          <w:rFonts w:hint="eastAsia" w:ascii="宋体" w:hAnsi="宋体"/>
          <w:bCs/>
          <w:sz w:val="24"/>
          <w:szCs w:val="24"/>
          <w:highlight w:val="none"/>
        </w:rPr>
        <w:t>8、</w:t>
      </w:r>
      <w:r>
        <w:rPr>
          <w:rFonts w:hint="eastAsia" w:ascii="宋体" w:hAnsi="宋体"/>
          <w:sz w:val="24"/>
          <w:highlight w:val="none"/>
        </w:rPr>
        <w:t>磋商响应文件</w:t>
      </w:r>
      <w:r>
        <w:rPr>
          <w:rFonts w:hint="eastAsia" w:ascii="宋体" w:hAnsi="宋体"/>
          <w:sz w:val="24"/>
          <w:szCs w:val="24"/>
          <w:highlight w:val="none"/>
        </w:rPr>
        <w:t>递交地点和竞争性磋商地点</w:t>
      </w:r>
      <w:r>
        <w:rPr>
          <w:rFonts w:hint="eastAsia" w:ascii="宋体" w:hAnsi="宋体"/>
          <w:bCs/>
          <w:sz w:val="24"/>
          <w:szCs w:val="24"/>
          <w:highlight w:val="none"/>
        </w:rPr>
        <w:t>在</w:t>
      </w:r>
      <w:r>
        <w:rPr>
          <w:rFonts w:hint="eastAsia" w:ascii="宋体" w:hAnsi="宋体"/>
          <w:b/>
          <w:bCs/>
          <w:sz w:val="24"/>
          <w:szCs w:val="24"/>
          <w:highlight w:val="none"/>
        </w:rPr>
        <w:t>江西省水投江河信息技术有限公司</w:t>
      </w:r>
      <w:r>
        <w:rPr>
          <w:rFonts w:hint="eastAsia" w:ascii="宋体" w:hAnsi="宋体"/>
          <w:b/>
          <w:sz w:val="24"/>
          <w:szCs w:val="24"/>
          <w:highlight w:val="none"/>
        </w:rPr>
        <w:t>（江西省南昌市紫阳大道3399号云中城A座39楼）。</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采  购  人：江西省水投江河信息技术有限公司</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rPr>
        <w:t>地      址：江西省南昌市紫阳大道3399号云中城A座39楼</w:t>
      </w:r>
    </w:p>
    <w:p>
      <w:pPr>
        <w:ind w:firstLine="240" w:firstLineChars="100"/>
        <w:rPr>
          <w:highlight w:val="none"/>
        </w:rPr>
      </w:pPr>
      <w:r>
        <w:rPr>
          <w:rFonts w:hint="eastAsia" w:ascii="宋体" w:hAnsi="宋体"/>
          <w:sz w:val="24"/>
          <w:szCs w:val="24"/>
          <w:highlight w:val="none"/>
        </w:rPr>
        <w:t>电      话：</w:t>
      </w:r>
      <w:bookmarkEnd w:id="1"/>
      <w:r>
        <w:rPr>
          <w:rFonts w:hint="eastAsia" w:ascii="宋体" w:hAnsi="宋体"/>
          <w:sz w:val="24"/>
          <w:szCs w:val="24"/>
          <w:highlight w:val="none"/>
        </w:rPr>
        <w:t>13767491630</w:t>
      </w:r>
    </w:p>
    <w:p>
      <w:pPr>
        <w:pStyle w:val="32"/>
        <w:spacing w:line="360" w:lineRule="auto"/>
        <w:ind w:left="0"/>
        <w:outlineLvl w:val="0"/>
        <w:rPr>
          <w:b/>
          <w:sz w:val="32"/>
          <w:szCs w:val="32"/>
          <w:highlight w:val="none"/>
        </w:rPr>
      </w:pPr>
      <w:r>
        <w:rPr>
          <w:sz w:val="24"/>
          <w:szCs w:val="24"/>
          <w:highlight w:val="none"/>
        </w:rPr>
        <w:br w:type="page"/>
      </w:r>
      <w:bookmarkStart w:id="2" w:name="_Toc4371"/>
      <w:r>
        <w:rPr>
          <w:rFonts w:hint="eastAsia"/>
          <w:b/>
          <w:sz w:val="32"/>
          <w:szCs w:val="32"/>
          <w:highlight w:val="none"/>
        </w:rPr>
        <w:t>第二章　供应商须知</w:t>
      </w:r>
      <w:bookmarkEnd w:id="2"/>
    </w:p>
    <w:p>
      <w:pPr>
        <w:pStyle w:val="3"/>
        <w:spacing w:before="0" w:after="0" w:line="360" w:lineRule="auto"/>
        <w:rPr>
          <w:rFonts w:ascii="宋体" w:hAnsi="宋体" w:eastAsia="宋体"/>
          <w:sz w:val="24"/>
          <w:highlight w:val="none"/>
        </w:rPr>
      </w:pPr>
      <w:bookmarkStart w:id="3" w:name="_Toc27082230"/>
      <w:bookmarkStart w:id="4" w:name="_Toc516734863"/>
      <w:bookmarkStart w:id="5" w:name="_Toc24195"/>
      <w:bookmarkStart w:id="6" w:name="_Toc518573414"/>
      <w:bookmarkStart w:id="7" w:name="_Toc520958252"/>
      <w:r>
        <w:rPr>
          <w:rFonts w:hint="eastAsia" w:ascii="宋体" w:hAnsi="宋体" w:eastAsia="宋体"/>
          <w:sz w:val="24"/>
          <w:highlight w:val="none"/>
        </w:rPr>
        <w:t>一、前附表</w:t>
      </w:r>
      <w:bookmarkEnd w:id="3"/>
      <w:bookmarkEnd w:id="4"/>
      <w:bookmarkEnd w:id="5"/>
      <w:bookmarkEnd w:id="6"/>
      <w:bookmarkEnd w:id="7"/>
    </w:p>
    <w:p>
      <w:pPr>
        <w:spacing w:line="360" w:lineRule="auto"/>
        <w:ind w:left="-239" w:leftChars="-114" w:firstLine="480" w:firstLineChars="200"/>
        <w:rPr>
          <w:rFonts w:ascii="宋体" w:hAnsi="宋体"/>
          <w:highlight w:val="none"/>
        </w:rPr>
      </w:pPr>
      <w:r>
        <w:rPr>
          <w:rFonts w:hint="eastAsia" w:ascii="宋体" w:hAnsi="宋体"/>
          <w:sz w:val="24"/>
          <w:szCs w:val="24"/>
          <w:highlight w:val="none"/>
        </w:rPr>
        <w:t>本表的具体资料是对供应商须知的具体补充和修改，如有矛盾，应以本资料表为准。</w:t>
      </w:r>
    </w:p>
    <w:tbl>
      <w:tblPr>
        <w:tblStyle w:val="3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28"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序号</w:t>
            </w:r>
          </w:p>
        </w:tc>
        <w:tc>
          <w:tcPr>
            <w:tcW w:w="1080"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条款号</w:t>
            </w:r>
          </w:p>
        </w:tc>
        <w:tc>
          <w:tcPr>
            <w:tcW w:w="7560" w:type="dxa"/>
            <w:vAlign w:val="center"/>
          </w:tcPr>
          <w:p>
            <w:pPr>
              <w:spacing w:line="360" w:lineRule="auto"/>
              <w:jc w:val="center"/>
              <w:rPr>
                <w:rFonts w:ascii="宋体" w:hAnsi="宋体"/>
                <w:b/>
                <w:bCs/>
                <w:sz w:val="24"/>
                <w:szCs w:val="24"/>
                <w:highlight w:val="none"/>
              </w:rPr>
            </w:pPr>
            <w:r>
              <w:rPr>
                <w:rFonts w:ascii="宋体" w:hAnsi="宋体"/>
                <w:b/>
                <w:bCs/>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1</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1.1</w:t>
            </w:r>
          </w:p>
        </w:tc>
        <w:tc>
          <w:tcPr>
            <w:tcW w:w="7560" w:type="dxa"/>
            <w:vAlign w:val="center"/>
          </w:tcPr>
          <w:p>
            <w:pPr>
              <w:spacing w:line="360" w:lineRule="auto"/>
              <w:rPr>
                <w:rFonts w:hint="eastAsia" w:ascii="宋体" w:hAnsi="宋体" w:eastAsia="宋体"/>
                <w:sz w:val="24"/>
                <w:szCs w:val="24"/>
                <w:highlight w:val="none"/>
                <w:lang w:eastAsia="zh-CN"/>
              </w:rPr>
            </w:pPr>
            <w:r>
              <w:rPr>
                <w:rFonts w:ascii="宋体" w:hAnsi="宋体"/>
                <w:sz w:val="24"/>
                <w:szCs w:val="24"/>
                <w:highlight w:val="none"/>
              </w:rPr>
              <w:t>项目名称：</w:t>
            </w:r>
            <w:r>
              <w:rPr>
                <w:rFonts w:hint="eastAsia" w:ascii="宋体" w:hAnsi="宋体"/>
                <w:sz w:val="24"/>
                <w:szCs w:val="24"/>
                <w:highlight w:val="none"/>
                <w:lang w:eastAsia="zh-CN"/>
              </w:rPr>
              <w:t>数据治理服务项目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2</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2.1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采购人：江西省水投江河信息技术有限公司</w:t>
            </w:r>
          </w:p>
          <w:p>
            <w:pPr>
              <w:spacing w:line="360" w:lineRule="auto"/>
              <w:rPr>
                <w:rFonts w:hint="eastAsia" w:ascii="宋体" w:hAnsi="宋体" w:eastAsia="宋体"/>
                <w:sz w:val="24"/>
                <w:szCs w:val="24"/>
                <w:highlight w:val="none"/>
                <w:lang w:val="en-US" w:eastAsia="zh-CN"/>
              </w:rPr>
            </w:pPr>
            <w:r>
              <w:rPr>
                <w:rFonts w:ascii="宋体" w:hAnsi="宋体"/>
                <w:sz w:val="24"/>
                <w:szCs w:val="24"/>
                <w:highlight w:val="none"/>
              </w:rPr>
              <w:t>联系人：</w:t>
            </w:r>
            <w:r>
              <w:rPr>
                <w:rFonts w:hint="eastAsia" w:ascii="宋体" w:hAnsi="宋体"/>
                <w:sz w:val="24"/>
                <w:szCs w:val="24"/>
                <w:highlight w:val="none"/>
                <w:lang w:val="en-US" w:eastAsia="zh-CN"/>
              </w:rPr>
              <w:t>沈喜</w:t>
            </w:r>
          </w:p>
          <w:p>
            <w:pPr>
              <w:spacing w:line="360" w:lineRule="auto"/>
              <w:rPr>
                <w:rFonts w:ascii="宋体" w:hAnsi="宋体"/>
                <w:sz w:val="24"/>
                <w:szCs w:val="24"/>
                <w:highlight w:val="none"/>
              </w:rPr>
            </w:pPr>
            <w:r>
              <w:rPr>
                <w:rFonts w:ascii="宋体" w:hAnsi="宋体"/>
                <w:sz w:val="24"/>
                <w:szCs w:val="24"/>
                <w:highlight w:val="none"/>
              </w:rPr>
              <w:t>电  话：</w:t>
            </w:r>
            <w:r>
              <w:rPr>
                <w:rFonts w:hint="eastAsia" w:ascii="宋体" w:hAnsi="宋体"/>
                <w:sz w:val="24"/>
                <w:szCs w:val="24"/>
                <w:highlight w:val="none"/>
              </w:rPr>
              <w:t>13767491630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3</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3.1</w:t>
            </w:r>
          </w:p>
        </w:tc>
        <w:tc>
          <w:tcPr>
            <w:tcW w:w="7560" w:type="dxa"/>
            <w:vAlign w:val="center"/>
          </w:tcPr>
          <w:p>
            <w:pPr>
              <w:spacing w:line="360" w:lineRule="auto"/>
              <w:rPr>
                <w:rFonts w:ascii="宋体" w:hAnsi="宋体"/>
                <w:sz w:val="24"/>
                <w:szCs w:val="24"/>
                <w:highlight w:val="none"/>
              </w:rPr>
            </w:pPr>
            <w:r>
              <w:rPr>
                <w:rFonts w:ascii="宋体" w:hAnsi="宋体" w:cs="宋体"/>
                <w:b/>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4</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4.1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磋商有效期：自磋商之日起不少于90天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5</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5.1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6</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6.1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磋商响应文件递交截止时间：</w:t>
            </w:r>
            <w:r>
              <w:rPr>
                <w:rFonts w:ascii="宋体" w:hAnsi="宋体"/>
                <w:sz w:val="24"/>
                <w:highlight w:val="none"/>
              </w:rPr>
              <w:t>202</w:t>
            </w:r>
            <w:r>
              <w:rPr>
                <w:rFonts w:hint="eastAsia" w:ascii="宋体" w:hAnsi="宋体"/>
                <w:sz w:val="24"/>
                <w:highlight w:val="none"/>
                <w:lang w:val="en-US" w:eastAsia="zh-CN"/>
              </w:rPr>
              <w:t>4</w:t>
            </w:r>
            <w:r>
              <w:rPr>
                <w:rFonts w:ascii="宋体" w:hAnsi="宋体"/>
                <w:sz w:val="24"/>
                <w:highlight w:val="none"/>
              </w:rPr>
              <w:t>年</w:t>
            </w:r>
            <w:r>
              <w:rPr>
                <w:rFonts w:hint="eastAsia" w:ascii="宋体" w:hAnsi="宋体"/>
                <w:sz w:val="24"/>
                <w:highlight w:val="none"/>
                <w:lang w:val="en-US" w:eastAsia="zh-CN"/>
              </w:rPr>
              <w:t>1</w:t>
            </w:r>
            <w:r>
              <w:rPr>
                <w:rFonts w:ascii="宋体" w:hAnsi="宋体"/>
                <w:sz w:val="24"/>
                <w:highlight w:val="none"/>
              </w:rPr>
              <w:t>月</w:t>
            </w:r>
            <w:r>
              <w:rPr>
                <w:rFonts w:hint="eastAsia" w:ascii="宋体" w:hAnsi="宋体"/>
                <w:sz w:val="24"/>
                <w:highlight w:val="none"/>
                <w:lang w:val="en-US" w:eastAsia="zh-CN"/>
              </w:rPr>
              <w:t>9</w:t>
            </w:r>
            <w:r>
              <w:rPr>
                <w:rFonts w:ascii="宋体" w:hAnsi="宋体"/>
                <w:sz w:val="24"/>
                <w:highlight w:val="none"/>
              </w:rPr>
              <w:t>日</w:t>
            </w:r>
            <w:r>
              <w:rPr>
                <w:rFonts w:hint="eastAsia" w:ascii="宋体" w:hAnsi="宋体"/>
                <w:sz w:val="24"/>
                <w:highlight w:val="none"/>
                <w:lang w:val="en-US" w:eastAsia="zh-CN"/>
              </w:rPr>
              <w:t>10</w:t>
            </w:r>
            <w:r>
              <w:rPr>
                <w:rFonts w:ascii="宋体" w:hAnsi="宋体"/>
                <w:sz w:val="24"/>
                <w:highlight w:val="none"/>
              </w:rPr>
              <w:t>时</w:t>
            </w:r>
            <w:r>
              <w:rPr>
                <w:rFonts w:hint="eastAsia" w:ascii="宋体" w:hAnsi="宋体"/>
                <w:sz w:val="24"/>
                <w:highlight w:val="none"/>
                <w:lang w:val="en-US" w:eastAsia="zh-CN"/>
              </w:rPr>
              <w:t>00</w:t>
            </w:r>
            <w:r>
              <w:rPr>
                <w:rFonts w:ascii="宋体" w:hAnsi="宋体"/>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7</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7.1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磋商时间：</w:t>
            </w:r>
            <w:r>
              <w:rPr>
                <w:rFonts w:ascii="宋体" w:hAnsi="宋体"/>
                <w:sz w:val="24"/>
                <w:highlight w:val="none"/>
              </w:rPr>
              <w:t>2023年</w:t>
            </w:r>
            <w:r>
              <w:rPr>
                <w:rFonts w:hint="eastAsia" w:ascii="宋体" w:hAnsi="宋体"/>
                <w:sz w:val="24"/>
                <w:highlight w:val="none"/>
                <w:lang w:val="en-US" w:eastAsia="zh-CN"/>
              </w:rPr>
              <w:t>1</w:t>
            </w:r>
            <w:r>
              <w:rPr>
                <w:rFonts w:ascii="宋体" w:hAnsi="宋体"/>
                <w:sz w:val="24"/>
                <w:highlight w:val="none"/>
              </w:rPr>
              <w:t>月</w:t>
            </w:r>
            <w:r>
              <w:rPr>
                <w:rFonts w:hint="eastAsia" w:ascii="宋体" w:hAnsi="宋体"/>
                <w:sz w:val="24"/>
                <w:highlight w:val="none"/>
                <w:lang w:val="en-US" w:eastAsia="zh-CN"/>
              </w:rPr>
              <w:t>9</w:t>
            </w:r>
            <w:r>
              <w:rPr>
                <w:rFonts w:ascii="宋体" w:hAnsi="宋体"/>
                <w:sz w:val="24"/>
                <w:highlight w:val="none"/>
              </w:rPr>
              <w:t>日1</w:t>
            </w:r>
            <w:r>
              <w:rPr>
                <w:rFonts w:hint="eastAsia" w:ascii="宋体" w:hAnsi="宋体"/>
                <w:sz w:val="24"/>
                <w:highlight w:val="none"/>
                <w:lang w:val="en-US" w:eastAsia="zh-CN"/>
              </w:rPr>
              <w:t>0</w:t>
            </w:r>
            <w:r>
              <w:rPr>
                <w:rFonts w:ascii="宋体" w:hAnsi="宋体"/>
                <w:sz w:val="24"/>
                <w:highlight w:val="none"/>
              </w:rPr>
              <w:t>时00分（北京时间）</w:t>
            </w:r>
          </w:p>
          <w:p>
            <w:pPr>
              <w:spacing w:line="360" w:lineRule="auto"/>
              <w:rPr>
                <w:rFonts w:ascii="宋体" w:hAnsi="宋体"/>
                <w:sz w:val="24"/>
                <w:szCs w:val="24"/>
                <w:highlight w:val="none"/>
              </w:rPr>
            </w:pPr>
            <w:r>
              <w:rPr>
                <w:rFonts w:ascii="宋体" w:hAnsi="宋体"/>
                <w:sz w:val="24"/>
                <w:szCs w:val="24"/>
                <w:highlight w:val="none"/>
              </w:rPr>
              <w:t>磋商地点：江西省水投江河信息技术有限公司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highlight w:val="none"/>
              </w:rPr>
            </w:pPr>
            <w:r>
              <w:rPr>
                <w:rFonts w:ascii="宋体" w:hAnsi="宋体"/>
                <w:sz w:val="24"/>
                <w:szCs w:val="24"/>
                <w:highlight w:val="none"/>
              </w:rPr>
              <w:t>8</w:t>
            </w:r>
          </w:p>
        </w:tc>
        <w:tc>
          <w:tcPr>
            <w:tcW w:w="1080" w:type="dxa"/>
            <w:vAlign w:val="center"/>
          </w:tcPr>
          <w:p>
            <w:pPr>
              <w:spacing w:line="360" w:lineRule="auto"/>
              <w:jc w:val="center"/>
              <w:rPr>
                <w:rFonts w:ascii="宋体" w:hAnsi="宋体"/>
                <w:sz w:val="24"/>
                <w:szCs w:val="24"/>
                <w:highlight w:val="none"/>
              </w:rPr>
            </w:pPr>
            <w:r>
              <w:rPr>
                <w:rFonts w:ascii="宋体" w:hAnsi="宋体"/>
                <w:sz w:val="24"/>
                <w:szCs w:val="24"/>
                <w:highlight w:val="none"/>
              </w:rPr>
              <w:t>8.1</w:t>
            </w:r>
          </w:p>
        </w:tc>
        <w:tc>
          <w:tcPr>
            <w:tcW w:w="7560" w:type="dxa"/>
            <w:vAlign w:val="center"/>
          </w:tcPr>
          <w:p>
            <w:pPr>
              <w:pStyle w:val="15"/>
              <w:rPr>
                <w:rFonts w:ascii="宋体" w:hAnsi="宋体"/>
                <w:sz w:val="24"/>
                <w:szCs w:val="24"/>
                <w:highlight w:val="none"/>
              </w:rPr>
            </w:pPr>
            <w:r>
              <w:rPr>
                <w:rFonts w:ascii="宋体" w:hAnsi="宋体"/>
                <w:sz w:val="24"/>
                <w:szCs w:val="24"/>
                <w:highlight w:val="none"/>
              </w:rPr>
              <w:t>评审标准和方法：详见第六章评审标准</w:t>
            </w:r>
          </w:p>
        </w:tc>
      </w:tr>
    </w:tbl>
    <w:p>
      <w:pPr>
        <w:pStyle w:val="3"/>
        <w:spacing w:before="0" w:after="0" w:line="360" w:lineRule="auto"/>
        <w:rPr>
          <w:rFonts w:ascii="宋体" w:hAnsi="宋体" w:eastAsia="宋体"/>
          <w:sz w:val="24"/>
          <w:highlight w:val="none"/>
        </w:rPr>
      </w:pPr>
      <w:bookmarkStart w:id="8" w:name="_Toc27082231"/>
      <w:bookmarkStart w:id="9" w:name="_Toc17836"/>
      <w:bookmarkStart w:id="10" w:name="_Toc516734864"/>
      <w:bookmarkStart w:id="11" w:name="_Toc518573415"/>
      <w:bookmarkStart w:id="12" w:name="_Toc520958253"/>
      <w:r>
        <w:rPr>
          <w:rFonts w:hint="eastAsia" w:ascii="宋体" w:hAnsi="宋体" w:eastAsia="宋体"/>
          <w:sz w:val="24"/>
          <w:highlight w:val="none"/>
        </w:rPr>
        <w:t>二、采购人与供应商</w:t>
      </w:r>
      <w:bookmarkEnd w:id="8"/>
      <w:bookmarkEnd w:id="9"/>
      <w:bookmarkEnd w:id="10"/>
      <w:bookmarkEnd w:id="11"/>
      <w:bookmarkEnd w:id="12"/>
    </w:p>
    <w:p>
      <w:pPr>
        <w:spacing w:line="360" w:lineRule="auto"/>
        <w:rPr>
          <w:rFonts w:ascii="宋体" w:hAnsi="宋体"/>
          <w:b/>
          <w:sz w:val="24"/>
          <w:highlight w:val="none"/>
        </w:rPr>
      </w:pPr>
      <w:r>
        <w:rPr>
          <w:rFonts w:hint="eastAsia" w:ascii="宋体" w:hAnsi="宋体"/>
          <w:b/>
          <w:sz w:val="24"/>
          <w:highlight w:val="none"/>
        </w:rPr>
        <w:t>1．适用范围</w:t>
      </w:r>
    </w:p>
    <w:p>
      <w:pPr>
        <w:spacing w:line="360" w:lineRule="auto"/>
        <w:ind w:left="510" w:hanging="510"/>
        <w:rPr>
          <w:rFonts w:ascii="宋体" w:hAnsi="宋体"/>
          <w:sz w:val="24"/>
          <w:szCs w:val="24"/>
          <w:highlight w:val="none"/>
        </w:rPr>
      </w:pPr>
      <w:r>
        <w:rPr>
          <w:rFonts w:ascii="宋体" w:hAnsi="宋体"/>
          <w:sz w:val="24"/>
          <w:szCs w:val="24"/>
          <w:highlight w:val="none"/>
        </w:rPr>
        <w:t xml:space="preserve">1.1 </w:t>
      </w:r>
      <w:r>
        <w:rPr>
          <w:rFonts w:hint="eastAsia" w:ascii="宋体" w:hAnsi="宋体"/>
          <w:sz w:val="24"/>
          <w:szCs w:val="24"/>
          <w:highlight w:val="none"/>
        </w:rPr>
        <w:t>本磋商文件仅适用于本磋商公告中所述项目的采购。</w:t>
      </w:r>
    </w:p>
    <w:p>
      <w:pPr>
        <w:spacing w:line="360" w:lineRule="auto"/>
        <w:rPr>
          <w:rFonts w:ascii="宋体" w:hAnsi="宋体"/>
          <w:b/>
          <w:sz w:val="24"/>
          <w:highlight w:val="none"/>
        </w:rPr>
      </w:pPr>
      <w:r>
        <w:rPr>
          <w:rFonts w:hint="eastAsia" w:ascii="宋体" w:hAnsi="宋体"/>
          <w:b/>
          <w:sz w:val="24"/>
          <w:highlight w:val="none"/>
        </w:rPr>
        <w:t>2. 定义</w:t>
      </w:r>
    </w:p>
    <w:p>
      <w:pPr>
        <w:spacing w:line="360" w:lineRule="auto"/>
        <w:ind w:left="510" w:hanging="510"/>
        <w:rPr>
          <w:rFonts w:ascii="宋体" w:hAnsi="宋体"/>
          <w:sz w:val="24"/>
          <w:szCs w:val="24"/>
          <w:highlight w:val="none"/>
        </w:rPr>
      </w:pPr>
      <w:r>
        <w:rPr>
          <w:rFonts w:ascii="宋体" w:hAnsi="宋体"/>
          <w:sz w:val="24"/>
          <w:szCs w:val="24"/>
          <w:highlight w:val="none"/>
        </w:rPr>
        <w:t xml:space="preserve">2.1 </w:t>
      </w:r>
      <w:r>
        <w:rPr>
          <w:rFonts w:hint="eastAsia" w:ascii="宋体" w:hAnsi="宋体"/>
          <w:sz w:val="24"/>
          <w:szCs w:val="24"/>
          <w:highlight w:val="none"/>
        </w:rPr>
        <w:t>“采购人”系指</w:t>
      </w:r>
      <w:r>
        <w:rPr>
          <w:rFonts w:hint="eastAsia" w:ascii="宋体" w:hAnsi="宋体"/>
          <w:sz w:val="24"/>
          <w:szCs w:val="24"/>
          <w:highlight w:val="none"/>
          <w:u w:val="single"/>
        </w:rPr>
        <w:t xml:space="preserve"> 江西省水投江河信息技术有限公司</w:t>
      </w:r>
      <w:r>
        <w:rPr>
          <w:rFonts w:hint="eastAsia" w:ascii="宋体" w:hAnsi="宋体"/>
          <w:sz w:val="24"/>
          <w:szCs w:val="24"/>
          <w:highlight w:val="none"/>
        </w:rPr>
        <w:t>。</w:t>
      </w:r>
    </w:p>
    <w:p>
      <w:pPr>
        <w:spacing w:line="360" w:lineRule="auto"/>
        <w:ind w:left="510" w:hanging="510"/>
        <w:rPr>
          <w:rFonts w:ascii="宋体" w:hAnsi="宋体"/>
          <w:sz w:val="24"/>
          <w:szCs w:val="24"/>
          <w:highlight w:val="none"/>
        </w:rPr>
      </w:pPr>
      <w:r>
        <w:rPr>
          <w:rFonts w:hint="eastAsia" w:ascii="宋体" w:hAnsi="宋体"/>
          <w:sz w:val="24"/>
          <w:szCs w:val="24"/>
          <w:highlight w:val="none"/>
        </w:rPr>
        <w:t>2.2 “供应商”是指向采购人提供服务的法人或其它组织。</w:t>
      </w:r>
    </w:p>
    <w:p>
      <w:pPr>
        <w:spacing w:line="360" w:lineRule="auto"/>
        <w:ind w:left="510" w:hanging="51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“服务”是指除货物和工程以外的其他采购对象。</w:t>
      </w:r>
    </w:p>
    <w:p>
      <w:pPr>
        <w:spacing w:line="360" w:lineRule="auto"/>
        <w:rPr>
          <w:rFonts w:ascii="宋体" w:hAnsi="宋体"/>
          <w:b/>
          <w:sz w:val="24"/>
          <w:highlight w:val="none"/>
        </w:rPr>
      </w:pPr>
      <w:r>
        <w:rPr>
          <w:rFonts w:hint="eastAsia" w:ascii="宋体" w:hAnsi="宋体"/>
          <w:b/>
          <w:sz w:val="24"/>
          <w:highlight w:val="none"/>
        </w:rPr>
        <w:t>3. 合格供应商</w:t>
      </w:r>
    </w:p>
    <w:p>
      <w:pPr>
        <w:spacing w:line="360" w:lineRule="auto"/>
        <w:rPr>
          <w:rFonts w:ascii="宋体" w:hAnsi="宋体"/>
          <w:bCs/>
          <w:sz w:val="24"/>
          <w:szCs w:val="24"/>
          <w:highlight w:val="none"/>
        </w:rPr>
      </w:pPr>
      <w:r>
        <w:rPr>
          <w:rFonts w:hint="eastAsia" w:ascii="宋体" w:hAnsi="宋体"/>
          <w:bCs/>
          <w:sz w:val="24"/>
          <w:szCs w:val="24"/>
          <w:highlight w:val="none"/>
        </w:rPr>
        <w:t>3</w:t>
      </w:r>
      <w:r>
        <w:rPr>
          <w:rFonts w:ascii="宋体" w:hAnsi="宋体"/>
          <w:bCs/>
          <w:sz w:val="24"/>
          <w:szCs w:val="24"/>
          <w:highlight w:val="none"/>
        </w:rPr>
        <w:t xml:space="preserve">.1 </w:t>
      </w:r>
      <w:r>
        <w:rPr>
          <w:rFonts w:hint="eastAsia" w:ascii="宋体" w:hAnsi="宋体"/>
          <w:bCs/>
          <w:sz w:val="24"/>
          <w:szCs w:val="24"/>
          <w:highlight w:val="none"/>
        </w:rPr>
        <w:t>详见“磋商公告”。</w:t>
      </w:r>
    </w:p>
    <w:p>
      <w:pPr>
        <w:spacing w:line="360" w:lineRule="auto"/>
        <w:rPr>
          <w:rFonts w:ascii="宋体" w:hAnsi="宋体"/>
          <w:b/>
          <w:sz w:val="24"/>
          <w:highlight w:val="none"/>
        </w:rPr>
      </w:pPr>
      <w:r>
        <w:rPr>
          <w:rFonts w:hint="eastAsia" w:ascii="宋体" w:hAnsi="宋体"/>
          <w:b/>
          <w:sz w:val="24"/>
          <w:highlight w:val="none"/>
        </w:rPr>
        <w:t>4. 供应商代表</w:t>
      </w:r>
      <w:bookmarkStart w:id="104" w:name="_GoBack"/>
      <w:bookmarkEnd w:id="104"/>
    </w:p>
    <w:p>
      <w:pPr>
        <w:spacing w:line="360" w:lineRule="auto"/>
        <w:ind w:left="510" w:hanging="510"/>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1</w:t>
      </w:r>
      <w:r>
        <w:rPr>
          <w:rFonts w:hint="eastAsia" w:ascii="宋体" w:hAnsi="宋体"/>
          <w:sz w:val="24"/>
          <w:szCs w:val="24"/>
          <w:highlight w:val="none"/>
        </w:rPr>
        <w:t>指全权代表供应商参加磋商活动并签署磋商响应文件的人。如果供应商代表不是法人代表，须持有《法人代表授权书》（格式详见附件）。</w:t>
      </w:r>
    </w:p>
    <w:p>
      <w:pPr>
        <w:spacing w:line="360" w:lineRule="auto"/>
        <w:rPr>
          <w:rFonts w:ascii="宋体" w:hAnsi="宋体"/>
          <w:b/>
          <w:sz w:val="24"/>
          <w:highlight w:val="none"/>
        </w:rPr>
      </w:pPr>
      <w:r>
        <w:rPr>
          <w:rFonts w:hint="eastAsia" w:ascii="宋体" w:hAnsi="宋体"/>
          <w:b/>
          <w:sz w:val="24"/>
          <w:highlight w:val="none"/>
        </w:rPr>
        <w:t>5. 磋商费用</w:t>
      </w:r>
    </w:p>
    <w:p>
      <w:pPr>
        <w:spacing w:line="360" w:lineRule="auto"/>
        <w:ind w:left="510" w:hanging="51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不论磋商的结果如何，供应商应自行承担所有与准备和参加磋商有关的全部费用。采购人在任何情况下均无义务和责任承担这些费用。</w:t>
      </w:r>
    </w:p>
    <w:p>
      <w:pPr>
        <w:pStyle w:val="3"/>
        <w:spacing w:before="0" w:after="0" w:line="360" w:lineRule="auto"/>
        <w:rPr>
          <w:rFonts w:ascii="宋体" w:hAnsi="宋体" w:eastAsia="宋体"/>
          <w:sz w:val="24"/>
          <w:highlight w:val="none"/>
        </w:rPr>
      </w:pPr>
      <w:bookmarkStart w:id="13" w:name="_Toc518573416"/>
      <w:bookmarkStart w:id="14" w:name="_Toc11888"/>
      <w:bookmarkStart w:id="15" w:name="_Toc516734865"/>
      <w:bookmarkStart w:id="16" w:name="_Toc27082232"/>
      <w:bookmarkStart w:id="17" w:name="_Toc520958254"/>
      <w:r>
        <w:rPr>
          <w:rFonts w:hint="eastAsia" w:ascii="宋体" w:hAnsi="宋体" w:eastAsia="宋体"/>
          <w:sz w:val="24"/>
          <w:highlight w:val="none"/>
        </w:rPr>
        <w:t>三、磋商文件</w:t>
      </w:r>
      <w:bookmarkEnd w:id="13"/>
      <w:bookmarkEnd w:id="14"/>
      <w:bookmarkEnd w:id="15"/>
      <w:bookmarkEnd w:id="16"/>
      <w:bookmarkEnd w:id="17"/>
    </w:p>
    <w:p>
      <w:pPr>
        <w:spacing w:line="360" w:lineRule="auto"/>
        <w:rPr>
          <w:rFonts w:ascii="宋体" w:hAnsi="宋体"/>
          <w:b/>
          <w:sz w:val="24"/>
          <w:highlight w:val="none"/>
        </w:rPr>
      </w:pPr>
      <w:r>
        <w:rPr>
          <w:rFonts w:hint="eastAsia" w:ascii="宋体" w:hAnsi="宋体"/>
          <w:b/>
          <w:sz w:val="24"/>
          <w:highlight w:val="none"/>
        </w:rPr>
        <w:t>6. 磋商文件的构成</w:t>
      </w:r>
    </w:p>
    <w:p>
      <w:pPr>
        <w:spacing w:line="360" w:lineRule="auto"/>
        <w:ind w:left="510" w:hanging="51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1</w:t>
      </w:r>
      <w:r>
        <w:rPr>
          <w:rFonts w:hint="eastAsia" w:ascii="宋体" w:hAnsi="宋体"/>
          <w:sz w:val="24"/>
          <w:szCs w:val="24"/>
          <w:highlight w:val="none"/>
        </w:rPr>
        <w:t xml:space="preserve"> 要求提供的工程、磋商过程和合同条款在磋商文件中均有说明。磋商文件共六章，各章的内容如下：</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第一章  磋商公告</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第二章  供应商须知</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第三章  合同主要条款</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第四章  附件（磋商响应文件格式）</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第五章  采购项目服务需求</w:t>
      </w:r>
    </w:p>
    <w:p>
      <w:pPr>
        <w:spacing w:line="360" w:lineRule="auto"/>
        <w:ind w:left="507" w:leftChars="228" w:hanging="28" w:hangingChars="12"/>
        <w:rPr>
          <w:rFonts w:ascii="宋体" w:hAnsi="宋体"/>
          <w:sz w:val="24"/>
          <w:szCs w:val="24"/>
          <w:highlight w:val="none"/>
        </w:rPr>
      </w:pPr>
      <w:r>
        <w:rPr>
          <w:rFonts w:hint="eastAsia" w:ascii="宋体" w:hAnsi="宋体"/>
          <w:sz w:val="24"/>
          <w:szCs w:val="24"/>
          <w:highlight w:val="none"/>
        </w:rPr>
        <w:t>第六章  评审标准</w:t>
      </w:r>
    </w:p>
    <w:p>
      <w:pPr>
        <w:spacing w:line="360" w:lineRule="auto"/>
        <w:ind w:left="454" w:hanging="454"/>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2</w:t>
      </w:r>
      <w:r>
        <w:rPr>
          <w:rFonts w:hint="eastAsia" w:ascii="宋体" w:hAnsi="宋体"/>
          <w:sz w:val="24"/>
          <w:szCs w:val="24"/>
          <w:highlight w:val="none"/>
        </w:rPr>
        <w:t xml:space="preserve"> 除非有特殊要求，磋商文件不单独提供磋商项目使用地的自然环境、气候条件、公用设施等情况，供应商被视为熟悉上述与履行合同有关的一切情况。</w:t>
      </w:r>
    </w:p>
    <w:p>
      <w:pPr>
        <w:spacing w:line="360" w:lineRule="auto"/>
        <w:rPr>
          <w:rFonts w:ascii="宋体" w:hAnsi="宋体"/>
          <w:b/>
          <w:sz w:val="24"/>
          <w:highlight w:val="none"/>
        </w:rPr>
      </w:pPr>
      <w:r>
        <w:rPr>
          <w:rFonts w:hint="eastAsia" w:ascii="宋体" w:hAnsi="宋体"/>
          <w:b/>
          <w:sz w:val="24"/>
          <w:highlight w:val="none"/>
        </w:rPr>
        <w:t>7. 磋商文件的澄清</w:t>
      </w:r>
    </w:p>
    <w:p>
      <w:pPr>
        <w:spacing w:line="360" w:lineRule="auto"/>
        <w:ind w:left="454" w:hanging="454"/>
        <w:rPr>
          <w:rFonts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1</w:t>
      </w:r>
      <w:r>
        <w:rPr>
          <w:rFonts w:hint="eastAsia" w:ascii="宋体" w:hAnsi="宋体"/>
          <w:sz w:val="24"/>
          <w:szCs w:val="24"/>
          <w:highlight w:val="none"/>
        </w:rPr>
        <w:t xml:space="preserve"> 任何要求对磋商文件进行澄清的供应商，应在磋商截止期前3天以书面形式通知</w:t>
      </w:r>
      <w:r>
        <w:rPr>
          <w:rFonts w:hint="eastAsia" w:ascii="宋体" w:hAnsi="宋体"/>
          <w:sz w:val="24"/>
          <w:szCs w:val="24"/>
          <w:highlight w:val="none"/>
          <w:lang w:val="en-US" w:eastAsia="zh-CN"/>
        </w:rPr>
        <w:t>采购人</w:t>
      </w:r>
      <w:r>
        <w:rPr>
          <w:rFonts w:hint="eastAsia" w:ascii="宋体" w:hAnsi="宋体"/>
          <w:sz w:val="24"/>
          <w:szCs w:val="24"/>
          <w:highlight w:val="none"/>
        </w:rPr>
        <w:t>。</w:t>
      </w:r>
      <w:r>
        <w:rPr>
          <w:rFonts w:hint="eastAsia" w:ascii="宋体" w:hAnsi="宋体"/>
          <w:sz w:val="24"/>
          <w:szCs w:val="24"/>
          <w:highlight w:val="none"/>
          <w:lang w:val="en-US" w:eastAsia="zh-CN"/>
        </w:rPr>
        <w:t>采购人</w:t>
      </w:r>
      <w:r>
        <w:rPr>
          <w:rFonts w:hint="eastAsia" w:ascii="宋体" w:hAnsi="宋体"/>
          <w:sz w:val="24"/>
          <w:szCs w:val="24"/>
          <w:highlight w:val="none"/>
        </w:rPr>
        <w:t>应以书面形式予以答复，同时将该答复提供给每个购买磋商文件的供应商，答复中不标明问题的来源。</w:t>
      </w:r>
    </w:p>
    <w:p>
      <w:pPr>
        <w:spacing w:line="360" w:lineRule="auto"/>
        <w:ind w:left="454" w:hanging="454"/>
        <w:rPr>
          <w:rFonts w:ascii="宋体" w:hAnsi="宋体"/>
          <w:sz w:val="24"/>
          <w:szCs w:val="24"/>
          <w:highlight w:val="none"/>
        </w:rPr>
      </w:pPr>
      <w:r>
        <w:rPr>
          <w:rFonts w:hint="eastAsia" w:ascii="宋体" w:hAnsi="宋体"/>
          <w:sz w:val="24"/>
          <w:szCs w:val="24"/>
          <w:highlight w:val="none"/>
        </w:rPr>
        <w:t>7.2供应商在规定的时间内未对磋商文件提出澄清要求，</w:t>
      </w:r>
      <w:r>
        <w:rPr>
          <w:rFonts w:hint="eastAsia" w:ascii="宋体" w:hAnsi="宋体"/>
          <w:sz w:val="24"/>
          <w:szCs w:val="24"/>
          <w:highlight w:val="none"/>
          <w:lang w:eastAsia="zh-CN"/>
        </w:rPr>
        <w:t>采购人</w:t>
      </w:r>
      <w:r>
        <w:rPr>
          <w:rFonts w:hint="eastAsia" w:ascii="宋体" w:hAnsi="宋体"/>
          <w:sz w:val="24"/>
          <w:szCs w:val="24"/>
          <w:highlight w:val="none"/>
        </w:rPr>
        <w:t>将视其为同意。</w:t>
      </w:r>
    </w:p>
    <w:p>
      <w:pPr>
        <w:spacing w:line="360" w:lineRule="auto"/>
        <w:rPr>
          <w:rFonts w:ascii="宋体" w:hAnsi="宋体"/>
          <w:b/>
          <w:sz w:val="24"/>
          <w:highlight w:val="none"/>
        </w:rPr>
      </w:pPr>
      <w:bookmarkStart w:id="18" w:name="_Toc262628450"/>
      <w:r>
        <w:rPr>
          <w:rFonts w:hint="eastAsia" w:ascii="宋体" w:hAnsi="宋体"/>
          <w:b/>
          <w:sz w:val="24"/>
          <w:highlight w:val="none"/>
        </w:rPr>
        <w:t>8. 磋商文件的修改</w:t>
      </w:r>
      <w:bookmarkEnd w:id="18"/>
    </w:p>
    <w:p>
      <w:pPr>
        <w:spacing w:line="360" w:lineRule="auto"/>
        <w:ind w:left="454" w:hanging="454"/>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1 </w:t>
      </w:r>
      <w:r>
        <w:rPr>
          <w:rFonts w:hint="eastAsia" w:ascii="宋体" w:hAnsi="宋体"/>
          <w:sz w:val="24"/>
          <w:szCs w:val="24"/>
          <w:highlight w:val="none"/>
        </w:rPr>
        <w:t>磋商截止时间前的任何时候，无论出于何种原因，</w:t>
      </w:r>
      <w:r>
        <w:rPr>
          <w:rFonts w:hint="eastAsia" w:ascii="宋体" w:hAnsi="宋体"/>
          <w:sz w:val="24"/>
          <w:szCs w:val="24"/>
          <w:highlight w:val="none"/>
          <w:lang w:eastAsia="zh-CN"/>
        </w:rPr>
        <w:t>采购人</w:t>
      </w:r>
      <w:r>
        <w:rPr>
          <w:rFonts w:hint="eastAsia" w:ascii="宋体" w:hAnsi="宋体"/>
          <w:sz w:val="24"/>
          <w:szCs w:val="24"/>
          <w:highlight w:val="none"/>
        </w:rPr>
        <w:t>可对磋商文件进行修改。</w:t>
      </w:r>
    </w:p>
    <w:p>
      <w:pPr>
        <w:spacing w:line="360" w:lineRule="auto"/>
        <w:ind w:left="454" w:hanging="454"/>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2 </w:t>
      </w:r>
      <w:r>
        <w:rPr>
          <w:rFonts w:hint="eastAsia" w:ascii="宋体" w:hAnsi="宋体"/>
          <w:sz w:val="24"/>
          <w:szCs w:val="24"/>
          <w:highlight w:val="none"/>
        </w:rPr>
        <w:t>磋商文件的修改将以书面形式通知所有购买磋商文件的供应商，并对其具有约束力。供应商在收到上述通知后，应立即向</w:t>
      </w:r>
      <w:r>
        <w:rPr>
          <w:rFonts w:hint="eastAsia" w:ascii="宋体" w:hAnsi="宋体"/>
          <w:sz w:val="24"/>
          <w:szCs w:val="24"/>
          <w:highlight w:val="none"/>
          <w:lang w:eastAsia="zh-CN"/>
        </w:rPr>
        <w:t>采购人</w:t>
      </w:r>
      <w:r>
        <w:rPr>
          <w:rFonts w:hint="eastAsia" w:ascii="宋体" w:hAnsi="宋体"/>
          <w:sz w:val="24"/>
          <w:szCs w:val="24"/>
          <w:highlight w:val="none"/>
        </w:rPr>
        <w:t>回函确认。</w:t>
      </w:r>
    </w:p>
    <w:p>
      <w:pPr>
        <w:spacing w:line="360" w:lineRule="auto"/>
        <w:ind w:left="510" w:hanging="510"/>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 xml:space="preserve">3 </w:t>
      </w:r>
      <w:r>
        <w:rPr>
          <w:rFonts w:hint="eastAsia" w:ascii="宋体" w:hAnsi="宋体"/>
          <w:sz w:val="24"/>
          <w:szCs w:val="24"/>
          <w:highlight w:val="none"/>
        </w:rPr>
        <w:t>为使供应商准备磋商时有充分时间对磋商文件的修改部分进行研究，</w:t>
      </w:r>
      <w:r>
        <w:rPr>
          <w:rFonts w:hint="eastAsia" w:ascii="宋体" w:hAnsi="宋体"/>
          <w:sz w:val="24"/>
          <w:szCs w:val="24"/>
          <w:highlight w:val="none"/>
          <w:lang w:eastAsia="zh-CN"/>
        </w:rPr>
        <w:t>采购人</w:t>
      </w:r>
      <w:r>
        <w:rPr>
          <w:rFonts w:hint="eastAsia" w:ascii="宋体" w:hAnsi="宋体"/>
          <w:sz w:val="24"/>
          <w:szCs w:val="24"/>
          <w:highlight w:val="none"/>
        </w:rPr>
        <w:t>可自行决定推迟磋商截止时间。</w:t>
      </w:r>
    </w:p>
    <w:p>
      <w:pPr>
        <w:pStyle w:val="3"/>
        <w:spacing w:before="0" w:after="0" w:line="360" w:lineRule="auto"/>
        <w:rPr>
          <w:rFonts w:ascii="宋体" w:hAnsi="宋体" w:eastAsia="宋体"/>
          <w:sz w:val="24"/>
          <w:highlight w:val="none"/>
        </w:rPr>
      </w:pPr>
      <w:bookmarkStart w:id="19" w:name="_Toc520958255"/>
      <w:bookmarkStart w:id="20" w:name="_Toc27082233"/>
      <w:bookmarkStart w:id="21" w:name="_Toc518573417"/>
      <w:bookmarkStart w:id="22" w:name="_Toc13147"/>
      <w:bookmarkStart w:id="23" w:name="_Toc516734866"/>
      <w:r>
        <w:rPr>
          <w:rFonts w:hint="eastAsia" w:ascii="宋体" w:hAnsi="宋体" w:eastAsia="宋体"/>
          <w:sz w:val="24"/>
          <w:highlight w:val="none"/>
        </w:rPr>
        <w:t>四、磋商响应文件的编制</w:t>
      </w:r>
      <w:bookmarkEnd w:id="19"/>
      <w:bookmarkEnd w:id="20"/>
      <w:bookmarkEnd w:id="21"/>
      <w:bookmarkEnd w:id="22"/>
      <w:bookmarkEnd w:id="23"/>
    </w:p>
    <w:p>
      <w:pPr>
        <w:spacing w:line="360" w:lineRule="auto"/>
        <w:rPr>
          <w:rFonts w:ascii="宋体" w:hAnsi="宋体"/>
          <w:b/>
          <w:sz w:val="24"/>
          <w:highlight w:val="none"/>
        </w:rPr>
      </w:pPr>
      <w:bookmarkStart w:id="24" w:name="_Toc262628452"/>
      <w:r>
        <w:rPr>
          <w:rFonts w:hint="eastAsia" w:ascii="宋体" w:hAnsi="宋体"/>
          <w:b/>
          <w:sz w:val="24"/>
          <w:highlight w:val="none"/>
        </w:rPr>
        <w:t>9. 提示</w:t>
      </w:r>
      <w:bookmarkEnd w:id="24"/>
    </w:p>
    <w:p>
      <w:pPr>
        <w:spacing w:line="360" w:lineRule="auto"/>
        <w:ind w:left="454" w:hanging="454"/>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 xml:space="preserve">1 </w:t>
      </w:r>
      <w:r>
        <w:rPr>
          <w:rFonts w:hint="eastAsia" w:ascii="宋体" w:hAnsi="宋体"/>
          <w:sz w:val="24"/>
          <w:szCs w:val="24"/>
          <w:highlight w:val="none"/>
        </w:rPr>
        <w:t>供应商应认真阅读磋商文件的全部内容，按照磋商文件的要求提供磋商响应文件和资料。</w:t>
      </w:r>
    </w:p>
    <w:p>
      <w:pPr>
        <w:spacing w:line="360" w:lineRule="auto"/>
        <w:ind w:left="454" w:hanging="454"/>
        <w:rPr>
          <w:rFonts w:ascii="宋体" w:hAnsi="宋体"/>
          <w:sz w:val="24"/>
          <w:szCs w:val="24"/>
          <w:highlight w:val="none"/>
        </w:rPr>
      </w:pPr>
      <w:r>
        <w:rPr>
          <w:rFonts w:hint="eastAsia" w:ascii="宋体" w:hAnsi="宋体"/>
          <w:sz w:val="24"/>
          <w:szCs w:val="24"/>
          <w:highlight w:val="none"/>
        </w:rPr>
        <w:t>9.2磋商文件因字迹潦草或表达不清所引起的后果由供应商负责。</w:t>
      </w:r>
    </w:p>
    <w:p>
      <w:pPr>
        <w:spacing w:line="360" w:lineRule="auto"/>
        <w:rPr>
          <w:rFonts w:ascii="宋体" w:hAnsi="宋体"/>
          <w:b/>
          <w:sz w:val="24"/>
          <w:highlight w:val="none"/>
        </w:rPr>
      </w:pPr>
      <w:bookmarkStart w:id="25" w:name="_Toc262628453"/>
      <w:r>
        <w:rPr>
          <w:rFonts w:hint="eastAsia" w:ascii="宋体" w:hAnsi="宋体"/>
          <w:b/>
          <w:sz w:val="24"/>
          <w:highlight w:val="none"/>
        </w:rPr>
        <w:t>10. 磋商响应文件计量单位</w:t>
      </w:r>
      <w:bookmarkEnd w:id="25"/>
      <w:r>
        <w:rPr>
          <w:rFonts w:ascii="宋体" w:hAnsi="宋体"/>
          <w:b/>
          <w:sz w:val="24"/>
          <w:highlight w:val="none"/>
        </w:rPr>
        <w:tab/>
      </w:r>
    </w:p>
    <w:p>
      <w:pPr>
        <w:spacing w:line="360" w:lineRule="auto"/>
        <w:ind w:left="454" w:hanging="454"/>
        <w:rPr>
          <w:rFonts w:ascii="宋体" w:hAnsi="宋体"/>
          <w:sz w:val="24"/>
          <w:szCs w:val="24"/>
          <w:highlight w:val="none"/>
        </w:rPr>
      </w:pPr>
      <w:r>
        <w:rPr>
          <w:rFonts w:hint="eastAsia" w:ascii="宋体" w:hAnsi="宋体"/>
          <w:sz w:val="24"/>
          <w:szCs w:val="24"/>
          <w:highlight w:val="none"/>
        </w:rPr>
        <w:t>10.1磋商响应文件中所使用的计量单位</w:t>
      </w:r>
      <w:r>
        <w:rPr>
          <w:rFonts w:ascii="宋体" w:hAnsi="宋体"/>
          <w:sz w:val="24"/>
          <w:szCs w:val="24"/>
          <w:highlight w:val="none"/>
        </w:rPr>
        <w:t xml:space="preserve">, </w:t>
      </w:r>
      <w:r>
        <w:rPr>
          <w:rFonts w:hint="eastAsia" w:ascii="宋体" w:hAnsi="宋体"/>
          <w:sz w:val="24"/>
          <w:szCs w:val="24"/>
          <w:highlight w:val="none"/>
        </w:rPr>
        <w:t>除磋商文件中有特殊要求外，应采用国家法定计量单位。</w:t>
      </w:r>
    </w:p>
    <w:p>
      <w:pPr>
        <w:spacing w:line="360" w:lineRule="auto"/>
        <w:rPr>
          <w:rFonts w:ascii="宋体" w:hAnsi="宋体"/>
          <w:b/>
          <w:sz w:val="24"/>
          <w:highlight w:val="none"/>
        </w:rPr>
      </w:pPr>
      <w:bookmarkStart w:id="26" w:name="_Toc262628454"/>
      <w:r>
        <w:rPr>
          <w:rFonts w:hint="eastAsia" w:ascii="宋体" w:hAnsi="宋体"/>
          <w:b/>
          <w:sz w:val="24"/>
          <w:highlight w:val="none"/>
        </w:rPr>
        <w:t>11. 磋商响应文件的构成</w:t>
      </w:r>
      <w:bookmarkEnd w:id="26"/>
    </w:p>
    <w:p>
      <w:pPr>
        <w:spacing w:line="360" w:lineRule="auto"/>
        <w:ind w:left="567" w:hanging="567"/>
        <w:rPr>
          <w:rFonts w:ascii="宋体" w:hAnsi="宋体"/>
          <w:sz w:val="24"/>
          <w:szCs w:val="24"/>
          <w:highlight w:val="none"/>
        </w:rPr>
      </w:pPr>
      <w:r>
        <w:rPr>
          <w:rFonts w:hint="eastAsia" w:ascii="宋体" w:hAnsi="宋体"/>
          <w:sz w:val="24"/>
          <w:szCs w:val="24"/>
          <w:highlight w:val="none"/>
        </w:rPr>
        <w:t>11.1磋商响应文件应由下列部分构成：</w:t>
      </w:r>
    </w:p>
    <w:p>
      <w:pPr>
        <w:spacing w:line="360" w:lineRule="auto"/>
        <w:ind w:left="567" w:hanging="87"/>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磋商响应书</w:t>
      </w:r>
    </w:p>
    <w:p>
      <w:pPr>
        <w:spacing w:line="360" w:lineRule="auto"/>
        <w:ind w:left="567" w:hanging="87"/>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报价表</w:t>
      </w:r>
    </w:p>
    <w:p>
      <w:pPr>
        <w:spacing w:line="360" w:lineRule="auto"/>
        <w:ind w:left="567" w:hanging="87"/>
        <w:rPr>
          <w:rFonts w:ascii="宋体" w:hAnsi="宋体"/>
          <w:sz w:val="24"/>
          <w:szCs w:val="24"/>
          <w:highlight w:val="none"/>
        </w:rPr>
      </w:pPr>
      <w:r>
        <w:rPr>
          <w:rFonts w:hint="eastAsia" w:ascii="宋体" w:hAnsi="宋体"/>
          <w:sz w:val="24"/>
          <w:szCs w:val="24"/>
          <w:highlight w:val="none"/>
        </w:rPr>
        <w:t>(3) 技术（参数）</w:t>
      </w:r>
      <w:r>
        <w:rPr>
          <w:rFonts w:hint="eastAsia" w:ascii="宋体" w:hAnsi="宋体"/>
          <w:sz w:val="24"/>
          <w:szCs w:val="24"/>
          <w:highlight w:val="none"/>
          <w:lang w:val="en-GB"/>
        </w:rPr>
        <w:t>响应/偏离</w:t>
      </w:r>
      <w:r>
        <w:rPr>
          <w:rFonts w:hint="eastAsia" w:ascii="宋体" w:hAnsi="宋体"/>
          <w:sz w:val="24"/>
          <w:szCs w:val="24"/>
          <w:highlight w:val="none"/>
        </w:rPr>
        <w:t>表</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4) 商务条款响应/偏离表</w:t>
      </w:r>
    </w:p>
    <w:p>
      <w:pPr>
        <w:pStyle w:val="38"/>
        <w:ind w:firstLine="480"/>
        <w:rPr>
          <w:szCs w:val="24"/>
          <w:highlight w:val="none"/>
        </w:rPr>
      </w:pPr>
      <w:r>
        <w:rPr>
          <w:rFonts w:hint="eastAsia"/>
          <w:highlight w:val="none"/>
        </w:rPr>
        <w:t>(5)</w:t>
      </w:r>
      <w:r>
        <w:rPr>
          <w:szCs w:val="24"/>
          <w:highlight w:val="none"/>
        </w:rPr>
        <w:t xml:space="preserve"> </w:t>
      </w:r>
      <w:r>
        <w:rPr>
          <w:rFonts w:hint="eastAsia"/>
          <w:szCs w:val="24"/>
          <w:highlight w:val="none"/>
        </w:rPr>
        <w:t>技术（服务）文件</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 xml:space="preserve"> 资格证明文件</w:t>
      </w:r>
    </w:p>
    <w:p>
      <w:pPr>
        <w:spacing w:line="360" w:lineRule="auto"/>
        <w:ind w:left="567" w:hanging="87"/>
        <w:rPr>
          <w:rFonts w:ascii="宋体" w:hAnsi="宋体"/>
          <w:sz w:val="24"/>
          <w:szCs w:val="24"/>
          <w:highlight w:val="none"/>
        </w:rPr>
      </w:pPr>
      <w:r>
        <w:rPr>
          <w:rFonts w:ascii="宋体" w:hAnsi="宋体"/>
          <w:sz w:val="24"/>
          <w:szCs w:val="24"/>
          <w:highlight w:val="none"/>
        </w:rPr>
        <w:t>(</w:t>
      </w: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 xml:space="preserve"> 其他资料</w:t>
      </w:r>
    </w:p>
    <w:p>
      <w:pPr>
        <w:spacing w:line="360" w:lineRule="auto"/>
        <w:ind w:left="567" w:hanging="87"/>
        <w:rPr>
          <w:rFonts w:ascii="宋体" w:hAnsi="宋体"/>
          <w:sz w:val="24"/>
          <w:szCs w:val="24"/>
          <w:highlight w:val="none"/>
        </w:rPr>
      </w:pPr>
      <w:r>
        <w:rPr>
          <w:rFonts w:hint="eastAsia" w:ascii="宋体" w:hAnsi="宋体"/>
          <w:sz w:val="24"/>
          <w:szCs w:val="24"/>
          <w:highlight w:val="none"/>
        </w:rPr>
        <w:t>供应商应将磋商响应文件装订成册，并编写磋商响应文件目录及页码。</w:t>
      </w:r>
    </w:p>
    <w:p>
      <w:pPr>
        <w:spacing w:line="360" w:lineRule="auto"/>
        <w:rPr>
          <w:rFonts w:ascii="宋体" w:hAnsi="宋体"/>
          <w:sz w:val="24"/>
          <w:highlight w:val="none"/>
        </w:rPr>
      </w:pPr>
      <w:bookmarkStart w:id="27" w:name="_Toc262628455"/>
      <w:r>
        <w:rPr>
          <w:rFonts w:hint="eastAsia" w:ascii="宋体" w:hAnsi="宋体"/>
          <w:b/>
          <w:sz w:val="24"/>
          <w:highlight w:val="none"/>
        </w:rPr>
        <w:t>12. 证明供应商合格和资格的文件</w:t>
      </w:r>
      <w:bookmarkEnd w:id="27"/>
    </w:p>
    <w:p>
      <w:pPr>
        <w:spacing w:line="360" w:lineRule="auto"/>
        <w:ind w:left="454" w:hanging="454"/>
        <w:rPr>
          <w:rFonts w:ascii="宋体" w:hAnsi="宋体"/>
          <w:sz w:val="24"/>
          <w:szCs w:val="24"/>
          <w:highlight w:val="none"/>
        </w:rPr>
      </w:pPr>
      <w:r>
        <w:rPr>
          <w:rFonts w:hint="eastAsia" w:ascii="宋体" w:hAnsi="宋体"/>
          <w:sz w:val="24"/>
          <w:szCs w:val="24"/>
          <w:highlight w:val="none"/>
        </w:rPr>
        <w:t>12.1 供应商应提供证明其合格和资格的证明文件</w:t>
      </w:r>
      <w:r>
        <w:rPr>
          <w:rFonts w:ascii="宋体" w:hAnsi="宋体"/>
          <w:sz w:val="24"/>
          <w:szCs w:val="24"/>
          <w:highlight w:val="none"/>
        </w:rPr>
        <w:t>(</w:t>
      </w:r>
      <w:r>
        <w:rPr>
          <w:rFonts w:hint="eastAsia" w:ascii="宋体" w:hAnsi="宋体"/>
          <w:sz w:val="24"/>
          <w:szCs w:val="24"/>
          <w:highlight w:val="none"/>
        </w:rPr>
        <w:t>见磋商文件附件6)。</w:t>
      </w:r>
    </w:p>
    <w:p>
      <w:pPr>
        <w:spacing w:line="360" w:lineRule="auto"/>
        <w:ind w:left="454" w:hanging="454"/>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2.2</w:t>
      </w:r>
      <w:r>
        <w:rPr>
          <w:rFonts w:ascii="宋体" w:hAnsi="宋体"/>
          <w:sz w:val="24"/>
          <w:szCs w:val="24"/>
          <w:highlight w:val="none"/>
        </w:rPr>
        <w:t xml:space="preserve"> </w:t>
      </w:r>
      <w:r>
        <w:rPr>
          <w:rFonts w:hint="eastAsia" w:ascii="宋体" w:hAnsi="宋体"/>
          <w:sz w:val="24"/>
          <w:szCs w:val="24"/>
          <w:highlight w:val="none"/>
        </w:rPr>
        <w:t>其他资格证明文件。</w:t>
      </w:r>
    </w:p>
    <w:p>
      <w:pPr>
        <w:spacing w:line="360" w:lineRule="auto"/>
        <w:rPr>
          <w:rFonts w:ascii="宋体" w:hAnsi="宋体"/>
          <w:b/>
          <w:sz w:val="24"/>
          <w:highlight w:val="none"/>
        </w:rPr>
      </w:pPr>
      <w:bookmarkStart w:id="28" w:name="_Toc262628456"/>
      <w:r>
        <w:rPr>
          <w:rFonts w:hint="eastAsia" w:ascii="宋体" w:hAnsi="宋体"/>
          <w:b/>
          <w:sz w:val="24"/>
          <w:highlight w:val="none"/>
        </w:rPr>
        <w:t>13. 证明项目符合磋商文件规定的文件</w:t>
      </w:r>
      <w:bookmarkEnd w:id="28"/>
    </w:p>
    <w:p>
      <w:pPr>
        <w:spacing w:line="360" w:lineRule="auto"/>
        <w:ind w:left="567" w:hanging="567"/>
        <w:rPr>
          <w:rFonts w:ascii="宋体" w:hAnsi="宋体"/>
          <w:sz w:val="24"/>
          <w:szCs w:val="24"/>
          <w:highlight w:val="none"/>
        </w:rPr>
      </w:pPr>
      <w:bookmarkStart w:id="29" w:name="_Toc262628457"/>
      <w:r>
        <w:rPr>
          <w:rFonts w:hint="eastAsia" w:ascii="宋体" w:hAnsi="宋体"/>
          <w:sz w:val="24"/>
          <w:szCs w:val="24"/>
          <w:highlight w:val="none"/>
        </w:rPr>
        <w:t>13.</w:t>
      </w:r>
      <w:r>
        <w:rPr>
          <w:rFonts w:ascii="宋体" w:hAnsi="宋体"/>
          <w:sz w:val="24"/>
          <w:szCs w:val="24"/>
          <w:highlight w:val="none"/>
        </w:rPr>
        <w:t>1</w:t>
      </w:r>
      <w:r>
        <w:rPr>
          <w:rFonts w:hint="eastAsia" w:ascii="宋体" w:hAnsi="宋体"/>
          <w:sz w:val="24"/>
          <w:szCs w:val="24"/>
          <w:highlight w:val="none"/>
        </w:rPr>
        <w:t xml:space="preserve"> 供应商应提交其项目符合磋商文件规定的证明，作为磋商响应文件的一部分。</w:t>
      </w:r>
    </w:p>
    <w:p>
      <w:pPr>
        <w:spacing w:line="360" w:lineRule="auto"/>
        <w:ind w:left="567" w:hanging="567"/>
        <w:rPr>
          <w:rFonts w:ascii="宋体" w:hAnsi="宋体"/>
          <w:sz w:val="24"/>
          <w:szCs w:val="24"/>
          <w:highlight w:val="none"/>
        </w:rPr>
      </w:pPr>
      <w:r>
        <w:rPr>
          <w:rFonts w:hint="eastAsia" w:ascii="宋体" w:hAnsi="宋体"/>
          <w:sz w:val="24"/>
          <w:szCs w:val="24"/>
          <w:highlight w:val="none"/>
        </w:rPr>
        <w:t>13.2 项目与磋商文件的要求相一致的证明，可以是文字资料、图纸和数据，包括：</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rPr>
        <w:t xml:space="preserve"> 对满足服务要求的详细说明。</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w:t>
      </w:r>
      <w:r>
        <w:rPr>
          <w:rFonts w:hint="eastAsia" w:ascii="宋体" w:hAnsi="宋体"/>
          <w:sz w:val="24"/>
          <w:szCs w:val="24"/>
          <w:highlight w:val="none"/>
        </w:rPr>
        <w:t xml:space="preserve"> 对照磋商文件的要求，逐条说明所提供服务已对磋商文件的要求作出了实质性响应，或申明与服务要求的偏差和例外。特别对于有具体要求的指标，供应商必须提供所投服务的具体指标。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商务条款的偏差和例外。</w:t>
      </w:r>
    </w:p>
    <w:p>
      <w:pPr>
        <w:spacing w:line="360" w:lineRule="auto"/>
        <w:rPr>
          <w:rFonts w:ascii="宋体" w:hAnsi="宋体"/>
          <w:b/>
          <w:sz w:val="24"/>
          <w:highlight w:val="none"/>
        </w:rPr>
      </w:pPr>
      <w:r>
        <w:rPr>
          <w:rFonts w:hint="eastAsia" w:ascii="宋体" w:hAnsi="宋体"/>
          <w:b/>
          <w:sz w:val="24"/>
          <w:highlight w:val="none"/>
        </w:rPr>
        <w:t>14. 磋商报价</w:t>
      </w:r>
      <w:bookmarkEnd w:id="29"/>
    </w:p>
    <w:p>
      <w:pPr>
        <w:spacing w:line="360" w:lineRule="auto"/>
        <w:ind w:left="567" w:hanging="567"/>
        <w:rPr>
          <w:rFonts w:ascii="宋体" w:hAnsi="宋体"/>
          <w:b/>
          <w:bCs/>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.1</w:t>
      </w:r>
      <w:r>
        <w:rPr>
          <w:rFonts w:hint="eastAsia" w:ascii="宋体" w:hAnsi="宋体"/>
          <w:sz w:val="24"/>
          <w:szCs w:val="24"/>
          <w:highlight w:val="none"/>
        </w:rPr>
        <w:t>投标报价应是磋商文件所约定的采购范围内全部内容的价格体现，应以人民币报价。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.2</w:t>
      </w:r>
      <w:r>
        <w:rPr>
          <w:rFonts w:hint="eastAsia" w:ascii="宋体" w:hAnsi="宋体"/>
          <w:sz w:val="24"/>
          <w:szCs w:val="24"/>
          <w:highlight w:val="none"/>
        </w:rPr>
        <w:t>投标报价方式：本项目采用固定价格报价方式。除非在合同中另有约定，否则供应商所报的综合单价和合价在合同履行过程中不予调整。</w:t>
      </w:r>
      <w:r>
        <w:rPr>
          <w:rFonts w:hint="eastAsia" w:ascii="宋体" w:hAnsi="宋体"/>
          <w:b/>
          <w:sz w:val="24"/>
          <w:highlight w:val="none"/>
        </w:rPr>
        <w:t xml:space="preserve"> </w:t>
      </w:r>
    </w:p>
    <w:p>
      <w:pPr>
        <w:adjustRightInd w:val="0"/>
        <w:snapToGrid w:val="0"/>
        <w:spacing w:line="360" w:lineRule="auto"/>
        <w:ind w:left="495" w:leftChars="7" w:hanging="480" w:hangingChars="200"/>
        <w:rPr>
          <w:rFonts w:ascii="宋体" w:hAnsi="宋体"/>
          <w:sz w:val="24"/>
          <w:szCs w:val="24"/>
          <w:highlight w:val="none"/>
        </w:rPr>
      </w:pPr>
      <w:r>
        <w:rPr>
          <w:rFonts w:hint="eastAsia" w:ascii="宋体" w:hAnsi="宋体"/>
          <w:sz w:val="24"/>
          <w:szCs w:val="24"/>
          <w:highlight w:val="none"/>
        </w:rPr>
        <w:t>14.3投标报价的计价方法：</w:t>
      </w:r>
    </w:p>
    <w:p>
      <w:pPr>
        <w:spacing w:line="360" w:lineRule="auto"/>
        <w:ind w:left="493" w:leftChars="235"/>
        <w:rPr>
          <w:rFonts w:ascii="宋体" w:hAnsi="宋体"/>
          <w:sz w:val="24"/>
          <w:szCs w:val="24"/>
          <w:highlight w:val="none"/>
        </w:rPr>
      </w:pPr>
      <w:r>
        <w:rPr>
          <w:rFonts w:hint="eastAsia" w:ascii="宋体" w:hAnsi="宋体"/>
          <w:sz w:val="24"/>
          <w:szCs w:val="24"/>
          <w:highlight w:val="none"/>
        </w:rPr>
        <w:t>（1）供应商应根据磋商文件中的服务需求计算项目综合单价和合价，</w:t>
      </w:r>
      <w:r>
        <w:rPr>
          <w:rFonts w:hint="eastAsia" w:ascii="宋体" w:hAnsi="宋体"/>
          <w:b/>
          <w:sz w:val="24"/>
          <w:highlight w:val="none"/>
        </w:rPr>
        <w:t>并严格执行强制性条文</w:t>
      </w:r>
      <w:r>
        <w:rPr>
          <w:rFonts w:hint="eastAsia" w:ascii="宋体" w:hAnsi="宋体"/>
          <w:sz w:val="24"/>
          <w:szCs w:val="24"/>
          <w:highlight w:val="none"/>
        </w:rPr>
        <w:t>。供应商没有填写综合单价和合价的项目将被认为此项费用已包含在服务需求其它项目的综合单价和合价中。</w:t>
      </w:r>
    </w:p>
    <w:p>
      <w:pPr>
        <w:spacing w:line="360" w:lineRule="auto"/>
        <w:ind w:left="479" w:leftChars="228"/>
        <w:rPr>
          <w:rFonts w:ascii="宋体" w:hAnsi="宋体"/>
          <w:sz w:val="24"/>
          <w:szCs w:val="24"/>
          <w:highlight w:val="none"/>
        </w:rPr>
      </w:pPr>
      <w:r>
        <w:rPr>
          <w:rFonts w:hint="eastAsia" w:ascii="宋体" w:hAnsi="宋体"/>
          <w:sz w:val="24"/>
          <w:szCs w:val="24"/>
          <w:highlight w:val="none"/>
        </w:rPr>
        <w:t>（2）供应商应充分考虑市场环境和服务要素价格变化对合同价的影响，自主编制投标报价。</w:t>
      </w:r>
    </w:p>
    <w:p>
      <w:pPr>
        <w:spacing w:line="360" w:lineRule="auto"/>
        <w:ind w:left="479" w:leftChars="228"/>
        <w:rPr>
          <w:rFonts w:ascii="宋体" w:hAnsi="宋体"/>
          <w:sz w:val="24"/>
          <w:szCs w:val="24"/>
          <w:highlight w:val="none"/>
        </w:rPr>
      </w:pPr>
      <w:r>
        <w:rPr>
          <w:rFonts w:hint="eastAsia" w:ascii="宋体" w:hAnsi="宋体"/>
          <w:sz w:val="24"/>
          <w:szCs w:val="24"/>
          <w:highlight w:val="none"/>
        </w:rPr>
        <w:t>（3）供应商如对服务需求有异议，须在开标前3天提出，否则视为认可服务需求已包含的所有内容。</w:t>
      </w:r>
    </w:p>
    <w:p>
      <w:pPr>
        <w:spacing w:line="360" w:lineRule="auto"/>
        <w:rPr>
          <w:rFonts w:ascii="宋体" w:hAnsi="宋体"/>
          <w:b/>
          <w:sz w:val="24"/>
          <w:highlight w:val="none"/>
        </w:rPr>
      </w:pPr>
      <w:bookmarkStart w:id="30" w:name="_Toc262628458"/>
      <w:r>
        <w:rPr>
          <w:rFonts w:hint="eastAsia" w:ascii="宋体" w:hAnsi="宋体"/>
          <w:b/>
          <w:sz w:val="24"/>
          <w:highlight w:val="none"/>
        </w:rPr>
        <w:t>15. 磋商保证金</w:t>
      </w:r>
      <w:bookmarkEnd w:id="30"/>
    </w:p>
    <w:p>
      <w:pPr>
        <w:spacing w:line="360" w:lineRule="auto"/>
        <w:ind w:left="600" w:hanging="600" w:hangingChars="250"/>
        <w:rPr>
          <w:rFonts w:ascii="宋体" w:hAnsi="宋体"/>
          <w:sz w:val="24"/>
          <w:szCs w:val="24"/>
          <w:highlight w:val="none"/>
        </w:rPr>
      </w:pPr>
      <w:bookmarkStart w:id="31" w:name="_Toc262628459"/>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本项目磋商保证金：详见供应商须知。</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 xml:space="preserve">.2 </w:t>
      </w:r>
      <w:r>
        <w:rPr>
          <w:rFonts w:hint="eastAsia" w:ascii="宋体" w:hAnsi="宋体"/>
          <w:sz w:val="24"/>
          <w:szCs w:val="24"/>
          <w:highlight w:val="none"/>
        </w:rPr>
        <w:t>磋商保证金可采用下列任何一种形式：</w:t>
      </w:r>
    </w:p>
    <w:p>
      <w:pPr>
        <w:spacing w:line="360" w:lineRule="auto"/>
        <w:ind w:left="1134" w:hanging="1134"/>
        <w:rPr>
          <w:rFonts w:ascii="宋体" w:hAnsi="宋体"/>
          <w:sz w:val="24"/>
          <w:szCs w:val="24"/>
          <w:highlight w:val="none"/>
        </w:rPr>
      </w:pPr>
      <w:r>
        <w:rPr>
          <w:rFonts w:hint="eastAsia" w:ascii="宋体" w:hAnsi="宋体"/>
          <w:sz w:val="24"/>
          <w:szCs w:val="24"/>
          <w:highlight w:val="none"/>
        </w:rPr>
        <w:t xml:space="preserve">     1）银行转帐；</w:t>
      </w:r>
    </w:p>
    <w:p>
      <w:pPr>
        <w:spacing w:line="360" w:lineRule="auto"/>
        <w:ind w:left="960" w:hanging="960"/>
        <w:rPr>
          <w:rFonts w:ascii="宋体" w:hAnsi="宋体"/>
          <w:sz w:val="24"/>
          <w:szCs w:val="24"/>
          <w:highlight w:val="none"/>
        </w:rPr>
      </w:pPr>
      <w:r>
        <w:rPr>
          <w:rFonts w:hint="eastAsia" w:ascii="宋体" w:hAnsi="宋体"/>
          <w:sz w:val="24"/>
          <w:szCs w:val="24"/>
          <w:highlight w:val="none"/>
        </w:rPr>
        <w:t xml:space="preserve">     2）</w:t>
      </w:r>
      <w:r>
        <w:rPr>
          <w:rFonts w:hint="eastAsia" w:ascii="宋体" w:hAnsi="宋体"/>
          <w:sz w:val="24"/>
          <w:szCs w:val="24"/>
          <w:highlight w:val="none"/>
          <w:lang w:eastAsia="zh-CN"/>
        </w:rPr>
        <w:t>采购人</w:t>
      </w:r>
      <w:r>
        <w:rPr>
          <w:rFonts w:hint="eastAsia" w:ascii="宋体" w:hAnsi="宋体"/>
          <w:sz w:val="24"/>
          <w:szCs w:val="24"/>
          <w:highlight w:val="none"/>
        </w:rPr>
        <w:t>可以接受其它形式。</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 xml:space="preserve">.3 </w:t>
      </w:r>
      <w:r>
        <w:rPr>
          <w:rFonts w:hint="eastAsia" w:ascii="宋体" w:hAnsi="宋体"/>
          <w:sz w:val="24"/>
          <w:szCs w:val="24"/>
          <w:highlight w:val="none"/>
        </w:rPr>
        <w:t>任何未按第</w:t>
      </w: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和第</w:t>
      </w: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.2</w:t>
      </w:r>
      <w:r>
        <w:rPr>
          <w:rFonts w:hint="eastAsia" w:ascii="宋体" w:hAnsi="宋体"/>
          <w:sz w:val="24"/>
          <w:szCs w:val="24"/>
          <w:highlight w:val="none"/>
        </w:rPr>
        <w:t>条要求提交可接受磋商保证金的磋商响应文件将作无效处理。</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.4</w:t>
      </w:r>
      <w:r>
        <w:rPr>
          <w:rFonts w:hint="eastAsia" w:ascii="宋体" w:hAnsi="宋体"/>
          <w:sz w:val="24"/>
          <w:szCs w:val="24"/>
          <w:highlight w:val="none"/>
        </w:rPr>
        <w:t xml:space="preserve"> 在采购签订合同后5个工作日内退还成交供应商的磋商保证金。</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.5</w:t>
      </w:r>
      <w:r>
        <w:rPr>
          <w:rFonts w:hint="eastAsia" w:ascii="宋体" w:hAnsi="宋体"/>
          <w:sz w:val="24"/>
          <w:szCs w:val="24"/>
          <w:highlight w:val="none"/>
        </w:rPr>
        <w:t xml:space="preserve"> 在成交通知书发出后5个工作日内退还未成交供应商的磋商保证金。</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.6</w:t>
      </w:r>
      <w:r>
        <w:rPr>
          <w:rFonts w:hint="eastAsia" w:ascii="宋体" w:hAnsi="宋体"/>
          <w:sz w:val="24"/>
          <w:szCs w:val="24"/>
          <w:highlight w:val="none"/>
        </w:rPr>
        <w:t xml:space="preserve"> 下列任何情况发生时，磋商保证金将被没收：</w:t>
      </w:r>
    </w:p>
    <w:p>
      <w:pPr>
        <w:spacing w:line="360" w:lineRule="auto"/>
        <w:ind w:left="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供应商在磋商文件规定的磋商有效期内撤回其磋商响应文件；</w:t>
      </w:r>
    </w:p>
    <w:p>
      <w:pPr>
        <w:spacing w:line="360" w:lineRule="auto"/>
        <w:ind w:left="567"/>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成交供应商未按规定签订合同；</w:t>
      </w:r>
    </w:p>
    <w:p>
      <w:pPr>
        <w:spacing w:line="360" w:lineRule="auto"/>
        <w:ind w:left="567"/>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成交供应商未按规定缴付成交服务费；</w:t>
      </w:r>
    </w:p>
    <w:p>
      <w:pPr>
        <w:spacing w:line="360" w:lineRule="auto"/>
        <w:ind w:left="567"/>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成交供应商未按规定提交履约保证金；</w:t>
      </w:r>
    </w:p>
    <w:p>
      <w:pPr>
        <w:spacing w:line="360" w:lineRule="auto"/>
        <w:ind w:firstLine="480" w:firstLineChars="20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成交供应商提供虚假材料和文件意图骗取成交。</w:t>
      </w:r>
    </w:p>
    <w:p>
      <w:pPr>
        <w:spacing w:line="360" w:lineRule="auto"/>
        <w:rPr>
          <w:rFonts w:ascii="宋体" w:hAnsi="宋体"/>
          <w:b/>
          <w:sz w:val="24"/>
          <w:highlight w:val="none"/>
        </w:rPr>
      </w:pPr>
      <w:r>
        <w:rPr>
          <w:rFonts w:hint="eastAsia" w:ascii="宋体" w:hAnsi="宋体"/>
          <w:b/>
          <w:sz w:val="24"/>
          <w:highlight w:val="none"/>
        </w:rPr>
        <w:t>16. 磋商有效期</w:t>
      </w:r>
      <w:bookmarkEnd w:id="31"/>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.1</w:t>
      </w:r>
      <w:r>
        <w:rPr>
          <w:rFonts w:hint="eastAsia" w:ascii="宋体" w:hAnsi="宋体"/>
          <w:sz w:val="24"/>
          <w:szCs w:val="24"/>
          <w:highlight w:val="none"/>
        </w:rPr>
        <w:t xml:space="preserve"> 磋商有效期应自磋商之日起，并在本须知“前附表”规定的时间保持有效。磋商有效期不足的磋商响应文件作无效处理。</w:t>
      </w:r>
    </w:p>
    <w:p>
      <w:pPr>
        <w:spacing w:line="360" w:lineRule="auto"/>
        <w:rPr>
          <w:rFonts w:ascii="宋体" w:hAnsi="宋体"/>
          <w:sz w:val="24"/>
          <w:highlight w:val="none"/>
        </w:rPr>
      </w:pPr>
      <w:bookmarkStart w:id="32" w:name="_Toc262628460"/>
      <w:r>
        <w:rPr>
          <w:rFonts w:hint="eastAsia" w:ascii="宋体" w:hAnsi="宋体"/>
          <w:b/>
          <w:sz w:val="24"/>
          <w:highlight w:val="none"/>
        </w:rPr>
        <w:t>17. 磋商响应文件的签署及规定</w:t>
      </w:r>
      <w:bookmarkEnd w:id="32"/>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.1</w:t>
      </w:r>
      <w:r>
        <w:rPr>
          <w:rFonts w:hint="eastAsia" w:ascii="宋体" w:hAnsi="宋体"/>
          <w:sz w:val="24"/>
          <w:szCs w:val="24"/>
          <w:highlight w:val="none"/>
        </w:rPr>
        <w:t xml:space="preserve"> 供应商应准备一份磋商响应文件正本和本须知“前附表”规定份数的副本。每套磋商响应文件须清楚地标明“正本”或“副本”。若正本和副本不符，以正本为准。</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磋商响应文件的正本必须打印加盖公章，并由供应商法定代表人或经法定代表人正式授权的代表在磋商响应文件上签字（或盖章）。磋商响应文件的副本可采用正本的复印件。</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.3</w:t>
      </w:r>
      <w:r>
        <w:rPr>
          <w:rFonts w:hint="eastAsia" w:ascii="宋体" w:hAnsi="宋体"/>
          <w:sz w:val="24"/>
          <w:szCs w:val="24"/>
          <w:highlight w:val="none"/>
        </w:rPr>
        <w:t xml:space="preserve"> 磋商响应文件不得涂改和增删，如有修改，必须由磋商响应文件签字人签字或盖章。</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4</w:t>
      </w:r>
      <w:r>
        <w:rPr>
          <w:rFonts w:hint="eastAsia" w:ascii="宋体" w:hAnsi="宋体"/>
          <w:sz w:val="24"/>
          <w:szCs w:val="24"/>
          <w:highlight w:val="none"/>
        </w:rPr>
        <w:t xml:space="preserve"> 磋商响应文件因字迹潦草或表达不清所引起的后果由供应商负责。</w:t>
      </w:r>
    </w:p>
    <w:p>
      <w:pPr>
        <w:spacing w:line="360" w:lineRule="auto"/>
        <w:ind w:left="567" w:hanging="567"/>
        <w:rPr>
          <w:rFonts w:ascii="宋体" w:hAnsi="宋体"/>
          <w:highlight w:val="none"/>
        </w:rPr>
      </w:pPr>
      <w:r>
        <w:rPr>
          <w:rFonts w:hint="eastAsia" w:ascii="宋体" w:hAnsi="宋体"/>
          <w:sz w:val="24"/>
          <w:szCs w:val="24"/>
          <w:highlight w:val="none"/>
        </w:rPr>
        <w:t>17</w:t>
      </w:r>
      <w:r>
        <w:rPr>
          <w:rFonts w:ascii="宋体" w:hAnsi="宋体"/>
          <w:sz w:val="24"/>
          <w:szCs w:val="24"/>
          <w:highlight w:val="none"/>
        </w:rPr>
        <w:t>.</w:t>
      </w:r>
      <w:r>
        <w:rPr>
          <w:rFonts w:hint="eastAsia" w:ascii="宋体" w:hAnsi="宋体"/>
          <w:sz w:val="24"/>
          <w:szCs w:val="24"/>
          <w:highlight w:val="none"/>
        </w:rPr>
        <w:t>5 电报、电传、传真形式的磋商响应文件概不接受。</w:t>
      </w:r>
    </w:p>
    <w:p>
      <w:pPr>
        <w:pStyle w:val="3"/>
        <w:spacing w:before="0" w:after="0" w:line="360" w:lineRule="auto"/>
        <w:rPr>
          <w:rFonts w:ascii="宋体" w:hAnsi="宋体" w:eastAsia="宋体"/>
          <w:sz w:val="24"/>
          <w:highlight w:val="none"/>
        </w:rPr>
      </w:pPr>
      <w:bookmarkStart w:id="33" w:name="_Toc27082235"/>
      <w:bookmarkStart w:id="34" w:name="_Toc13204"/>
      <w:bookmarkStart w:id="35" w:name="_Toc520958257"/>
      <w:bookmarkStart w:id="36" w:name="_Toc516734868"/>
      <w:bookmarkStart w:id="37" w:name="_Toc22821"/>
      <w:bookmarkStart w:id="38" w:name="_Toc518573419"/>
      <w:bookmarkStart w:id="39" w:name="_Toc27082234"/>
      <w:bookmarkStart w:id="40" w:name="_Toc520958256"/>
      <w:bookmarkStart w:id="41" w:name="_Toc518573418"/>
      <w:bookmarkStart w:id="42" w:name="_Toc516734867"/>
      <w:r>
        <w:rPr>
          <w:rFonts w:hint="eastAsia" w:ascii="宋体" w:hAnsi="宋体" w:eastAsia="宋体"/>
          <w:sz w:val="24"/>
          <w:highlight w:val="none"/>
        </w:rPr>
        <w:t>五、磋商响应文件的递交</w:t>
      </w:r>
      <w:bookmarkEnd w:id="33"/>
      <w:bookmarkEnd w:id="34"/>
    </w:p>
    <w:p>
      <w:pPr>
        <w:spacing w:line="360" w:lineRule="auto"/>
        <w:rPr>
          <w:rFonts w:ascii="宋体" w:hAnsi="宋体"/>
          <w:b/>
          <w:sz w:val="24"/>
          <w:highlight w:val="none"/>
        </w:rPr>
      </w:pPr>
      <w:r>
        <w:rPr>
          <w:rFonts w:hint="eastAsia" w:ascii="宋体" w:hAnsi="宋体"/>
          <w:b/>
          <w:sz w:val="24"/>
          <w:highlight w:val="none"/>
        </w:rPr>
        <w:t>18. 磋商响应文件的密封及标记</w:t>
      </w:r>
    </w:p>
    <w:p>
      <w:pPr>
        <w:spacing w:line="360" w:lineRule="auto"/>
        <w:ind w:left="510" w:hanging="510"/>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.1</w:t>
      </w:r>
      <w:r>
        <w:rPr>
          <w:rFonts w:hint="eastAsia" w:ascii="宋体" w:hAnsi="宋体"/>
          <w:sz w:val="24"/>
          <w:szCs w:val="24"/>
          <w:highlight w:val="none"/>
        </w:rPr>
        <w:t xml:space="preserve"> 供应商应将磋商响应文件正本和副本分开密封装在单独的信封中，且在信封上标明“正本”“副本”字样。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2 为方便磋商，供应商应将报价表单独密封，并在信封上标明“报价表”字样。</w:t>
      </w:r>
    </w:p>
    <w:p>
      <w:pPr>
        <w:spacing w:line="360" w:lineRule="auto"/>
        <w:ind w:left="567" w:hanging="567"/>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供应商应将</w:t>
      </w: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.1</w:t>
      </w:r>
      <w:r>
        <w:rPr>
          <w:rFonts w:hint="eastAsia" w:ascii="宋体" w:hAnsi="宋体"/>
          <w:sz w:val="24"/>
          <w:szCs w:val="24"/>
          <w:highlight w:val="none"/>
        </w:rPr>
        <w:t>条和</w:t>
      </w: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.2</w:t>
      </w:r>
      <w:r>
        <w:rPr>
          <w:rFonts w:hint="eastAsia" w:ascii="宋体" w:hAnsi="宋体"/>
          <w:sz w:val="24"/>
          <w:szCs w:val="24"/>
          <w:highlight w:val="none"/>
        </w:rPr>
        <w:t>条的所有信封封装在一个外层信封中。</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内外层信封均应：</w:t>
      </w:r>
    </w:p>
    <w:p>
      <w:pPr>
        <w:spacing w:line="360" w:lineRule="auto"/>
        <w:ind w:left="525"/>
        <w:rPr>
          <w:rFonts w:ascii="宋体" w:hAnsi="宋体"/>
          <w:sz w:val="24"/>
          <w:szCs w:val="24"/>
          <w:highlight w:val="none"/>
        </w:rPr>
      </w:pPr>
      <w:r>
        <w:rPr>
          <w:rFonts w:hint="eastAsia" w:ascii="宋体" w:hAnsi="宋体"/>
          <w:sz w:val="24"/>
          <w:szCs w:val="24"/>
          <w:highlight w:val="none"/>
        </w:rPr>
        <w:t>封口处有磋商全权代表的签字或单位公章。封皮上注明磋商项目名称、项目编号、供应商名称、地址、邮政编码、电话、联系人，并注明“磋商时启封”字样。</w:t>
      </w:r>
    </w:p>
    <w:p>
      <w:pPr>
        <w:spacing w:line="360" w:lineRule="auto"/>
        <w:ind w:left="567" w:hanging="567"/>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如果供应商未按上述要求密封及加写标记，</w:t>
      </w:r>
      <w:r>
        <w:rPr>
          <w:rFonts w:hint="eastAsia" w:ascii="宋体" w:hAnsi="宋体"/>
          <w:sz w:val="24"/>
          <w:szCs w:val="24"/>
          <w:highlight w:val="none"/>
          <w:lang w:eastAsia="zh-CN"/>
        </w:rPr>
        <w:t>采购人</w:t>
      </w:r>
      <w:r>
        <w:rPr>
          <w:rFonts w:hint="eastAsia" w:ascii="宋体" w:hAnsi="宋体"/>
          <w:sz w:val="24"/>
          <w:szCs w:val="24"/>
          <w:highlight w:val="none"/>
        </w:rPr>
        <w:t>对磋商响应文件的误投和提前启封概不负责。</w:t>
      </w:r>
    </w:p>
    <w:p>
      <w:pPr>
        <w:spacing w:line="360" w:lineRule="auto"/>
        <w:rPr>
          <w:rFonts w:ascii="宋体" w:hAnsi="宋体"/>
          <w:b/>
          <w:sz w:val="24"/>
          <w:highlight w:val="none"/>
        </w:rPr>
      </w:pPr>
      <w:r>
        <w:rPr>
          <w:rFonts w:hint="eastAsia" w:ascii="宋体" w:hAnsi="宋体"/>
          <w:b/>
          <w:sz w:val="24"/>
          <w:highlight w:val="none"/>
        </w:rPr>
        <w:t>19. 磋商截止时间</w:t>
      </w:r>
    </w:p>
    <w:p>
      <w:pPr>
        <w:spacing w:line="360" w:lineRule="auto"/>
        <w:ind w:left="567" w:hanging="567"/>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磋商响应文件必须在磋商公告规定的磋商响应文件递交截止时间前送达指定的磋商地点。</w:t>
      </w:r>
    </w:p>
    <w:p>
      <w:pPr>
        <w:spacing w:line="360" w:lineRule="auto"/>
        <w:rPr>
          <w:rFonts w:ascii="宋体" w:hAnsi="宋体"/>
          <w:b/>
          <w:sz w:val="24"/>
          <w:highlight w:val="none"/>
        </w:rPr>
      </w:pPr>
      <w:r>
        <w:rPr>
          <w:rFonts w:hint="eastAsia" w:ascii="宋体" w:hAnsi="宋体"/>
          <w:b/>
          <w:sz w:val="24"/>
          <w:highlight w:val="none"/>
        </w:rPr>
        <w:t>20. 迟交的磋商响应文件</w:t>
      </w:r>
    </w:p>
    <w:p>
      <w:pPr>
        <w:spacing w:line="360" w:lineRule="auto"/>
        <w:ind w:left="510" w:hanging="510"/>
        <w:rPr>
          <w:rFonts w:ascii="宋体" w:hAnsi="宋体"/>
          <w:sz w:val="24"/>
          <w:szCs w:val="24"/>
          <w:highlight w:val="none"/>
        </w:rPr>
      </w:pPr>
      <w:r>
        <w:rPr>
          <w:rFonts w:hint="eastAsia" w:ascii="宋体" w:hAnsi="宋体"/>
          <w:sz w:val="24"/>
          <w:szCs w:val="24"/>
          <w:highlight w:val="none"/>
        </w:rPr>
        <w:t>20</w:t>
      </w:r>
      <w:r>
        <w:rPr>
          <w:rFonts w:ascii="宋体" w:hAnsi="宋体"/>
          <w:sz w:val="24"/>
          <w:szCs w:val="24"/>
          <w:highlight w:val="none"/>
        </w:rPr>
        <w:t>.</w:t>
      </w:r>
      <w:r>
        <w:rPr>
          <w:rFonts w:hint="eastAsia" w:ascii="宋体" w:hAnsi="宋体"/>
          <w:sz w:val="24"/>
          <w:szCs w:val="24"/>
          <w:highlight w:val="none"/>
        </w:rPr>
        <w:t>1在磋商响应文件递交截止时间以后送达的磋商响应文件，</w:t>
      </w:r>
      <w:r>
        <w:rPr>
          <w:rFonts w:hint="eastAsia" w:ascii="宋体" w:hAnsi="宋体"/>
          <w:sz w:val="24"/>
          <w:szCs w:val="24"/>
          <w:highlight w:val="none"/>
          <w:lang w:eastAsia="zh-CN"/>
        </w:rPr>
        <w:t>采购人</w:t>
      </w:r>
      <w:r>
        <w:rPr>
          <w:rFonts w:hint="eastAsia" w:ascii="宋体" w:hAnsi="宋体"/>
          <w:sz w:val="24"/>
          <w:szCs w:val="24"/>
          <w:highlight w:val="none"/>
        </w:rPr>
        <w:t>将拒绝接收。</w:t>
      </w:r>
    </w:p>
    <w:p>
      <w:pPr>
        <w:spacing w:line="360" w:lineRule="auto"/>
        <w:rPr>
          <w:rFonts w:ascii="宋体" w:hAnsi="宋体"/>
          <w:b/>
          <w:sz w:val="24"/>
          <w:highlight w:val="none"/>
        </w:rPr>
      </w:pPr>
      <w:r>
        <w:rPr>
          <w:rFonts w:hint="eastAsia" w:ascii="宋体" w:hAnsi="宋体"/>
          <w:b/>
          <w:sz w:val="24"/>
          <w:highlight w:val="none"/>
        </w:rPr>
        <w:t>21. 磋商响应文件的撤回</w:t>
      </w:r>
    </w:p>
    <w:p>
      <w:pPr>
        <w:spacing w:line="360" w:lineRule="auto"/>
        <w:ind w:left="567" w:hanging="567"/>
        <w:rPr>
          <w:rFonts w:ascii="宋体" w:hAnsi="宋体"/>
          <w:sz w:val="24"/>
          <w:szCs w:val="24"/>
          <w:highlight w:val="none"/>
        </w:rPr>
      </w:pPr>
      <w:r>
        <w:rPr>
          <w:rFonts w:hint="eastAsia" w:ascii="宋体" w:hAnsi="宋体"/>
          <w:sz w:val="24"/>
          <w:szCs w:val="24"/>
          <w:highlight w:val="none"/>
        </w:rPr>
        <w:t>21.1</w:t>
      </w:r>
      <w:r>
        <w:rPr>
          <w:rFonts w:ascii="宋体" w:hAnsi="宋体"/>
          <w:sz w:val="24"/>
          <w:szCs w:val="24"/>
          <w:highlight w:val="none"/>
        </w:rPr>
        <w:t xml:space="preserve"> </w:t>
      </w:r>
      <w:r>
        <w:rPr>
          <w:rFonts w:hint="eastAsia" w:ascii="宋体" w:hAnsi="宋体"/>
          <w:sz w:val="24"/>
          <w:szCs w:val="24"/>
          <w:highlight w:val="none"/>
        </w:rPr>
        <w:t xml:space="preserve">从磋商响应文件递交截止期至磋商有效期期满这段时间内，供应商不得撤回其磋商响应文件。 </w:t>
      </w:r>
    </w:p>
    <w:p>
      <w:pPr>
        <w:pStyle w:val="3"/>
        <w:spacing w:before="0" w:after="0" w:line="360" w:lineRule="auto"/>
        <w:rPr>
          <w:rFonts w:ascii="宋体" w:hAnsi="宋体" w:eastAsia="宋体"/>
          <w:sz w:val="24"/>
          <w:highlight w:val="none"/>
        </w:rPr>
      </w:pPr>
      <w:r>
        <w:rPr>
          <w:rFonts w:hint="eastAsia" w:ascii="宋体" w:hAnsi="宋体" w:eastAsia="宋体"/>
          <w:sz w:val="24"/>
          <w:highlight w:val="none"/>
          <w:lang w:val="en-US" w:eastAsia="zh-CN"/>
        </w:rPr>
        <w:t>六</w:t>
      </w:r>
      <w:r>
        <w:rPr>
          <w:rFonts w:hint="eastAsia" w:ascii="宋体" w:hAnsi="宋体" w:eastAsia="宋体"/>
          <w:sz w:val="24"/>
          <w:highlight w:val="none"/>
        </w:rPr>
        <w:t>、磋商及成交供应商的确定</w:t>
      </w:r>
      <w:bookmarkEnd w:id="35"/>
      <w:bookmarkEnd w:id="36"/>
      <w:bookmarkEnd w:id="37"/>
      <w:bookmarkEnd w:id="38"/>
      <w:bookmarkEnd w:id="39"/>
    </w:p>
    <w:p>
      <w:pPr>
        <w:spacing w:line="360" w:lineRule="auto"/>
        <w:rPr>
          <w:rFonts w:ascii="宋体" w:hAnsi="宋体"/>
          <w:b/>
          <w:sz w:val="24"/>
          <w:highlight w:val="none"/>
        </w:rPr>
      </w:pPr>
      <w:r>
        <w:rPr>
          <w:rFonts w:hint="eastAsia" w:ascii="宋体" w:hAnsi="宋体"/>
          <w:b/>
          <w:sz w:val="24"/>
          <w:highlight w:val="none"/>
        </w:rPr>
        <w:t>. 磋商小组</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lang w:val="en-GB"/>
        </w:rPr>
        <w:t>22.1</w:t>
      </w:r>
      <w:r>
        <w:rPr>
          <w:rFonts w:hint="eastAsia" w:ascii="宋体" w:hAnsi="宋体"/>
          <w:spacing w:val="-6"/>
          <w:sz w:val="24"/>
          <w:szCs w:val="28"/>
          <w:highlight w:val="none"/>
        </w:rPr>
        <w:t>本次磋商由采购单位组建磋商小组，磋商小组成员5人及以上单数</w:t>
      </w:r>
      <w:r>
        <w:rPr>
          <w:rFonts w:hint="eastAsia" w:ascii="宋体" w:hAnsi="宋体"/>
          <w:sz w:val="24"/>
          <w:szCs w:val="24"/>
          <w:highlight w:val="none"/>
          <w:lang w:val="en-GB"/>
        </w:rPr>
        <w:t>。评审工作由磋商小组负责。</w:t>
      </w:r>
    </w:p>
    <w:p>
      <w:pPr>
        <w:spacing w:line="360" w:lineRule="auto"/>
        <w:rPr>
          <w:rFonts w:ascii="宋体" w:hAnsi="宋体"/>
          <w:b/>
          <w:sz w:val="24"/>
          <w:highlight w:val="none"/>
        </w:rPr>
      </w:pPr>
      <w:r>
        <w:rPr>
          <w:rFonts w:hint="eastAsia" w:ascii="宋体" w:hAnsi="宋体"/>
          <w:b/>
          <w:sz w:val="24"/>
          <w:highlight w:val="none"/>
        </w:rPr>
        <w:t>23. 磋商程序</w:t>
      </w:r>
    </w:p>
    <w:p>
      <w:pPr>
        <w:spacing w:line="360" w:lineRule="auto"/>
        <w:ind w:left="510" w:hanging="510"/>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.1</w:t>
      </w:r>
      <w:r>
        <w:rPr>
          <w:rFonts w:hint="eastAsia" w:ascii="宋体" w:hAnsi="宋体"/>
          <w:sz w:val="24"/>
          <w:szCs w:val="24"/>
          <w:highlight w:val="none"/>
          <w:lang w:eastAsia="zh-CN"/>
        </w:rPr>
        <w:t>采购人</w:t>
      </w:r>
      <w:r>
        <w:rPr>
          <w:rFonts w:hint="eastAsia" w:ascii="宋体" w:hAnsi="宋体"/>
          <w:sz w:val="24"/>
          <w:szCs w:val="24"/>
          <w:highlight w:val="none"/>
        </w:rPr>
        <w:t>在“磋商公告”中规定的时间和地点组织磋商。参加磋商的代表应持正式授权委托书签到并出席本次项目磋商。</w:t>
      </w:r>
    </w:p>
    <w:p>
      <w:pPr>
        <w:spacing w:line="360" w:lineRule="auto"/>
        <w:ind w:left="510" w:hanging="510"/>
        <w:rPr>
          <w:rFonts w:ascii="宋体" w:hAnsi="宋体"/>
          <w:sz w:val="24"/>
          <w:szCs w:val="24"/>
          <w:highlight w:val="none"/>
        </w:rPr>
      </w:pPr>
      <w:r>
        <w:rPr>
          <w:rFonts w:hint="eastAsia" w:ascii="宋体" w:hAnsi="宋体"/>
          <w:sz w:val="24"/>
          <w:szCs w:val="24"/>
          <w:highlight w:val="none"/>
        </w:rPr>
        <w:t>23.2采购人、监督部门查验供应商授权委托人身份及磋商响应文件密封情况，确认无误后供应商离开磋商地点。</w:t>
      </w:r>
    </w:p>
    <w:p>
      <w:pPr>
        <w:spacing w:line="360" w:lineRule="auto"/>
        <w:ind w:left="510" w:hanging="510"/>
        <w:rPr>
          <w:rFonts w:ascii="宋体" w:hAnsi="宋体"/>
          <w:sz w:val="24"/>
          <w:szCs w:val="24"/>
          <w:highlight w:val="none"/>
        </w:rPr>
      </w:pPr>
      <w:r>
        <w:rPr>
          <w:rFonts w:hint="eastAsia" w:ascii="宋体" w:hAnsi="宋体"/>
          <w:sz w:val="24"/>
          <w:szCs w:val="24"/>
          <w:highlight w:val="none"/>
        </w:rPr>
        <w:t>23.3磋商小组对各供应商的磋商响应文件认真审阅，确定磋商内容，并进行初审。磋商响应文件的初审分为：</w:t>
      </w:r>
    </w:p>
    <w:p>
      <w:pPr>
        <w:spacing w:line="360" w:lineRule="auto"/>
        <w:ind w:left="507" w:leftChars="114" w:hanging="268" w:hangingChars="112"/>
        <w:rPr>
          <w:rFonts w:ascii="宋体" w:hAnsi="宋体"/>
          <w:sz w:val="24"/>
          <w:szCs w:val="24"/>
          <w:highlight w:val="none"/>
        </w:rPr>
      </w:pPr>
      <w:r>
        <w:rPr>
          <w:rFonts w:hint="eastAsia" w:ascii="宋体" w:hAnsi="宋体"/>
          <w:sz w:val="24"/>
          <w:szCs w:val="24"/>
          <w:highlight w:val="none"/>
        </w:rPr>
        <w:t>（1）资格性检查。依据法律法规和磋商文件的规定，对磋商响应文件中的资格证明等进行审查，以确定供应商是否具备磋商资格。</w:t>
      </w:r>
    </w:p>
    <w:p>
      <w:pPr>
        <w:spacing w:line="360" w:lineRule="auto"/>
        <w:ind w:left="507" w:leftChars="114" w:hanging="268" w:hangingChars="112"/>
        <w:rPr>
          <w:rFonts w:ascii="宋体" w:hAnsi="宋体"/>
          <w:sz w:val="24"/>
          <w:szCs w:val="24"/>
          <w:highlight w:val="none"/>
        </w:rPr>
      </w:pPr>
      <w:r>
        <w:rPr>
          <w:rFonts w:hint="eastAsia" w:ascii="宋体" w:hAnsi="宋体"/>
          <w:sz w:val="24"/>
          <w:szCs w:val="24"/>
          <w:highlight w:val="none"/>
        </w:rPr>
        <w:t>（2）符合性检查。依据磋商文件的规定，从磋商响应文件的有效性、完整性和对磋商文件的响应程度进行审查，以确定是否对磋商文件的实质性要求做出响应。</w:t>
      </w:r>
    </w:p>
    <w:p>
      <w:pPr>
        <w:spacing w:line="360" w:lineRule="auto"/>
        <w:ind w:left="480" w:hanging="480" w:hangingChars="200"/>
        <w:rPr>
          <w:rFonts w:ascii="宋体" w:hAnsi="宋体"/>
          <w:sz w:val="24"/>
          <w:szCs w:val="24"/>
          <w:highlight w:val="none"/>
        </w:rPr>
      </w:pPr>
      <w:r>
        <w:rPr>
          <w:rFonts w:hint="eastAsia" w:ascii="宋体" w:hAnsi="宋体"/>
          <w:sz w:val="24"/>
          <w:szCs w:val="24"/>
          <w:highlight w:val="none"/>
        </w:rPr>
        <w:t>23.4初审出现下列情况者，磋商响应文件作无效处理：</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未提交磋商响应书；</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未提交报价表；</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资格证明文件不全的；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磋商响应文件无法定代表人签字（或盖章）或签字（或盖章）人无法定代表人有效委托的；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磋商有效期响应不足的；</w:t>
      </w:r>
    </w:p>
    <w:p>
      <w:pPr>
        <w:numPr>
          <w:ilvl w:val="1"/>
          <w:numId w:val="1"/>
        </w:numPr>
        <w:spacing w:line="360" w:lineRule="auto"/>
        <w:rPr>
          <w:rFonts w:ascii="宋体" w:hAnsi="宋体"/>
          <w:sz w:val="24"/>
          <w:szCs w:val="24"/>
          <w:highlight w:val="none"/>
        </w:rPr>
      </w:pPr>
      <w:r>
        <w:rPr>
          <w:rFonts w:hint="eastAsia" w:ascii="宋体" w:hAnsi="宋体"/>
          <w:sz w:val="24"/>
          <w:szCs w:val="24"/>
          <w:highlight w:val="none"/>
        </w:rPr>
        <w:t>未按采购文件要求响应付款方式的；</w:t>
      </w:r>
    </w:p>
    <w:p>
      <w:pPr>
        <w:spacing w:line="360" w:lineRule="auto"/>
        <w:rPr>
          <w:rFonts w:ascii="宋体" w:hAnsi="宋体"/>
          <w:b/>
          <w:sz w:val="24"/>
          <w:highlight w:val="none"/>
        </w:rPr>
      </w:pPr>
      <w:r>
        <w:rPr>
          <w:rFonts w:hint="eastAsia" w:ascii="宋体" w:hAnsi="宋体"/>
          <w:b/>
          <w:sz w:val="24"/>
          <w:highlight w:val="none"/>
        </w:rPr>
        <w:t>24.磋商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24.1磋商小组</w:t>
      </w:r>
      <w:r>
        <w:rPr>
          <w:rFonts w:hint="eastAsia" w:ascii="宋体" w:hAnsi="宋体"/>
          <w:sz w:val="24"/>
          <w:szCs w:val="24"/>
          <w:highlight w:val="none"/>
          <w:lang w:val="en-GB"/>
        </w:rPr>
        <w:t>按照递交磋商响应文件的先后顺序，与通过初审的供应商分别进行技术和商务上的磋商。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24.2</w:t>
      </w:r>
      <w:r>
        <w:rPr>
          <w:rFonts w:hint="eastAsia" w:ascii="宋体" w:hAnsi="宋体"/>
          <w:sz w:val="24"/>
          <w:szCs w:val="24"/>
          <w:highlight w:val="none"/>
          <w:lang w:val="en-GB"/>
        </w:rPr>
        <w:t>磋商双方可就技术、商务、价格内容按要求进行变更、补充完善，变更、补充完善的最终内容由其授权的代表签字，并作为评审的依据。</w:t>
      </w:r>
    </w:p>
    <w:p>
      <w:pPr>
        <w:spacing w:line="360" w:lineRule="auto"/>
        <w:ind w:left="510" w:hanging="510"/>
        <w:rPr>
          <w:rFonts w:ascii="宋体" w:hAnsi="宋体"/>
          <w:sz w:val="24"/>
          <w:szCs w:val="24"/>
          <w:highlight w:val="none"/>
        </w:rPr>
      </w:pPr>
      <w:r>
        <w:rPr>
          <w:rFonts w:hint="eastAsia" w:ascii="宋体" w:hAnsi="宋体"/>
          <w:sz w:val="24"/>
          <w:szCs w:val="24"/>
          <w:highlight w:val="none"/>
        </w:rPr>
        <w:t>24.3 磋商文件有实质性变动的，磋商小组应当以书面形式通知所有参加磋商的供应商。</w:t>
      </w:r>
    </w:p>
    <w:p>
      <w:pPr>
        <w:spacing w:line="360" w:lineRule="auto"/>
        <w:ind w:left="510" w:hanging="510"/>
        <w:rPr>
          <w:rFonts w:ascii="宋体" w:hAnsi="宋体"/>
          <w:sz w:val="24"/>
          <w:szCs w:val="24"/>
          <w:highlight w:val="none"/>
        </w:rPr>
      </w:pPr>
      <w:r>
        <w:rPr>
          <w:rFonts w:hint="eastAsia" w:ascii="宋体" w:hAnsi="宋体"/>
          <w:sz w:val="24"/>
          <w:szCs w:val="24"/>
          <w:highlight w:val="none"/>
        </w:rPr>
        <w:t>24.4 技术、商务磋商结束后，磋商小组应当要求所有参加磋商的供应商在规定时间内进行最终报价（第二轮报价即为最终报价）。</w:t>
      </w:r>
      <w:r>
        <w:rPr>
          <w:rFonts w:hint="eastAsia" w:ascii="宋体" w:hAnsi="宋体"/>
          <w:sz w:val="24"/>
          <w:szCs w:val="24"/>
          <w:highlight w:val="none"/>
          <w:lang w:val="en-GB"/>
        </w:rPr>
        <w:t>最终报价即为合同成交价，在合同履行过程中不得更改。最终报价计算报价得分。</w:t>
      </w:r>
    </w:p>
    <w:p>
      <w:pPr>
        <w:spacing w:line="360" w:lineRule="auto"/>
        <w:ind w:left="510" w:hanging="510"/>
        <w:rPr>
          <w:rFonts w:ascii="宋体" w:hAnsi="宋体"/>
          <w:sz w:val="24"/>
          <w:szCs w:val="24"/>
          <w:highlight w:val="none"/>
        </w:rPr>
      </w:pPr>
      <w:r>
        <w:rPr>
          <w:rFonts w:hint="eastAsia" w:ascii="宋体" w:hAnsi="宋体"/>
          <w:sz w:val="24"/>
          <w:szCs w:val="24"/>
          <w:highlight w:val="none"/>
        </w:rPr>
        <w:t>24.5在磋商文件没有实质性变动的情况下，供应商的后一轮报价不能高于其前一轮报价，否则其后一轮报价无效。</w:t>
      </w:r>
    </w:p>
    <w:p>
      <w:pPr>
        <w:spacing w:line="360" w:lineRule="auto"/>
        <w:ind w:left="510" w:hanging="510"/>
        <w:rPr>
          <w:rFonts w:ascii="宋体" w:hAnsi="宋体"/>
          <w:sz w:val="24"/>
          <w:szCs w:val="24"/>
          <w:highlight w:val="none"/>
        </w:rPr>
      </w:pPr>
      <w:r>
        <w:rPr>
          <w:rFonts w:hint="eastAsia" w:ascii="宋体" w:hAnsi="宋体"/>
          <w:sz w:val="24"/>
          <w:szCs w:val="24"/>
          <w:highlight w:val="none"/>
        </w:rPr>
        <w:t>24.6当全部报价均超出采购预算，磋商小组有权决定是否再次进行报价或本次磋商失败。若再次报价仍超出采购预算，磋商小组可宣布本次磋商失败。</w:t>
      </w:r>
    </w:p>
    <w:p>
      <w:pPr>
        <w:spacing w:line="360" w:lineRule="auto"/>
        <w:ind w:left="510" w:hanging="510"/>
        <w:rPr>
          <w:rFonts w:ascii="宋体" w:hAnsi="宋体"/>
          <w:sz w:val="24"/>
          <w:szCs w:val="24"/>
          <w:highlight w:val="none"/>
        </w:rPr>
      </w:pPr>
      <w:r>
        <w:rPr>
          <w:rFonts w:hint="eastAsia" w:ascii="宋体" w:hAnsi="宋体"/>
          <w:sz w:val="24"/>
          <w:szCs w:val="24"/>
          <w:highlight w:val="none"/>
        </w:rPr>
        <w:t>24.7磋商开始到中标单位确定后，磋商小组、</w:t>
      </w:r>
      <w:r>
        <w:rPr>
          <w:rFonts w:hint="eastAsia" w:ascii="宋体" w:hAnsi="宋体"/>
          <w:sz w:val="24"/>
          <w:szCs w:val="24"/>
          <w:highlight w:val="none"/>
          <w:lang w:eastAsia="zh-CN"/>
        </w:rPr>
        <w:t>采购人</w:t>
      </w:r>
      <w:r>
        <w:rPr>
          <w:rFonts w:hint="eastAsia" w:ascii="宋体" w:hAnsi="宋体"/>
          <w:sz w:val="24"/>
          <w:szCs w:val="24"/>
          <w:highlight w:val="none"/>
        </w:rPr>
        <w:t>、供应商要严格遵循保密原则，任何一方不得透露与磋商有关的其他供应商的技术资料、磋商报价及其它信息。否则，按相关法规进行相应的处罚。</w:t>
      </w:r>
    </w:p>
    <w:p>
      <w:pPr>
        <w:spacing w:line="360" w:lineRule="auto"/>
        <w:rPr>
          <w:rFonts w:ascii="宋体" w:hAnsi="宋体"/>
          <w:b/>
          <w:sz w:val="24"/>
          <w:highlight w:val="none"/>
        </w:rPr>
      </w:pPr>
      <w:bookmarkStart w:id="43" w:name="_Toc262628470"/>
      <w:r>
        <w:rPr>
          <w:rFonts w:ascii="宋体" w:hAnsi="宋体"/>
          <w:b/>
          <w:sz w:val="24"/>
          <w:highlight w:val="none"/>
        </w:rPr>
        <w:t>2</w:t>
      </w:r>
      <w:r>
        <w:rPr>
          <w:rFonts w:hint="eastAsia" w:ascii="宋体" w:hAnsi="宋体"/>
          <w:b/>
          <w:sz w:val="24"/>
          <w:highlight w:val="none"/>
        </w:rPr>
        <w:t>5</w:t>
      </w:r>
      <w:r>
        <w:rPr>
          <w:rFonts w:ascii="宋体" w:hAnsi="宋体"/>
          <w:b/>
          <w:sz w:val="24"/>
          <w:highlight w:val="none"/>
        </w:rPr>
        <w:t>.</w:t>
      </w:r>
      <w:r>
        <w:rPr>
          <w:rFonts w:hint="eastAsia" w:ascii="宋体" w:hAnsi="宋体"/>
          <w:b/>
          <w:sz w:val="24"/>
          <w:highlight w:val="none"/>
        </w:rPr>
        <w:t>评审办法</w:t>
      </w:r>
      <w:bookmarkEnd w:id="43"/>
    </w:p>
    <w:p>
      <w:pPr>
        <w:spacing w:line="360" w:lineRule="auto"/>
        <w:ind w:left="510" w:hanging="510"/>
        <w:rPr>
          <w:rFonts w:ascii="宋体" w:hAnsi="宋体"/>
          <w:b/>
          <w:sz w:val="24"/>
          <w:szCs w:val="24"/>
          <w:highlight w:val="none"/>
        </w:rPr>
      </w:pPr>
      <w:bookmarkStart w:id="44" w:name="_Toc286758337"/>
      <w:bookmarkStart w:id="45" w:name="_Toc286760740"/>
      <w:r>
        <w:rPr>
          <w:rFonts w:hint="eastAsia" w:ascii="宋体" w:hAnsi="宋体"/>
          <w:b/>
          <w:sz w:val="24"/>
          <w:szCs w:val="24"/>
          <w:highlight w:val="none"/>
        </w:rPr>
        <w:t>25.1在各磋商响应文件根据评审标准进行打分，由磋商小组根据供应商得分由高到低顺序推荐3名中标候选排序。</w:t>
      </w:r>
    </w:p>
    <w:bookmarkEnd w:id="44"/>
    <w:bookmarkEnd w:id="45"/>
    <w:p>
      <w:pPr>
        <w:spacing w:line="360" w:lineRule="auto"/>
        <w:rPr>
          <w:rFonts w:ascii="宋体" w:hAnsi="宋体"/>
          <w:b/>
          <w:sz w:val="24"/>
          <w:highlight w:val="none"/>
        </w:rPr>
      </w:pPr>
      <w:bookmarkStart w:id="46" w:name="_Toc262628471"/>
      <w:bookmarkStart w:id="47" w:name="_Toc262628473"/>
      <w:r>
        <w:rPr>
          <w:rFonts w:hint="eastAsia" w:ascii="宋体" w:hAnsi="宋体"/>
          <w:b/>
          <w:sz w:val="24"/>
          <w:highlight w:val="none"/>
        </w:rPr>
        <w:t>26. 与磋商小组的接触</w:t>
      </w:r>
      <w:bookmarkEnd w:id="46"/>
    </w:p>
    <w:p>
      <w:pPr>
        <w:spacing w:line="360" w:lineRule="auto"/>
        <w:ind w:left="482" w:hanging="482" w:hangingChars="200"/>
        <w:rPr>
          <w:rFonts w:ascii="宋体" w:hAnsi="宋体"/>
          <w:sz w:val="24"/>
          <w:szCs w:val="24"/>
          <w:highlight w:val="none"/>
          <w:lang w:val="en-GB"/>
        </w:rPr>
      </w:pPr>
      <w:r>
        <w:rPr>
          <w:rFonts w:hint="eastAsia" w:ascii="宋体" w:hAnsi="宋体"/>
          <w:b/>
          <w:sz w:val="24"/>
          <w:szCs w:val="24"/>
          <w:highlight w:val="none"/>
        </w:rPr>
        <w:t>26.1</w:t>
      </w:r>
      <w:r>
        <w:rPr>
          <w:rFonts w:hint="eastAsia" w:ascii="宋体" w:hAnsi="宋体"/>
          <w:sz w:val="24"/>
          <w:szCs w:val="24"/>
          <w:highlight w:val="none"/>
          <w:lang w:val="en-GB"/>
        </w:rPr>
        <w:t>从磋商之日起至授予合同期间，供应商不得就其磋商有关事项与磋商小组接触。</w:t>
      </w:r>
    </w:p>
    <w:p>
      <w:pPr>
        <w:spacing w:line="360" w:lineRule="auto"/>
        <w:ind w:left="480" w:hanging="480" w:hangingChars="200"/>
        <w:rPr>
          <w:rFonts w:ascii="宋体" w:hAnsi="宋体"/>
          <w:b/>
          <w:sz w:val="24"/>
          <w:szCs w:val="24"/>
          <w:highlight w:val="none"/>
        </w:rPr>
      </w:pPr>
      <w:r>
        <w:rPr>
          <w:rFonts w:hint="eastAsia" w:ascii="宋体" w:hAnsi="宋体"/>
          <w:sz w:val="24"/>
          <w:szCs w:val="24"/>
          <w:highlight w:val="none"/>
        </w:rPr>
        <w:t>26.2 供应商试图对磋商小组的评审施加任何影响，都可能导致其磋商响应文件作无效处理</w:t>
      </w:r>
      <w:r>
        <w:rPr>
          <w:rFonts w:hint="eastAsia" w:ascii="宋体" w:hAnsi="宋体"/>
          <w:b/>
          <w:sz w:val="24"/>
          <w:szCs w:val="24"/>
          <w:highlight w:val="none"/>
        </w:rPr>
        <w:t>。</w:t>
      </w:r>
      <w:bookmarkEnd w:id="47"/>
    </w:p>
    <w:bookmarkEnd w:id="40"/>
    <w:bookmarkEnd w:id="41"/>
    <w:bookmarkEnd w:id="42"/>
    <w:p>
      <w:pPr>
        <w:pStyle w:val="3"/>
        <w:spacing w:before="0" w:after="0" w:line="360" w:lineRule="auto"/>
        <w:rPr>
          <w:rFonts w:ascii="宋体" w:hAnsi="宋体" w:eastAsia="宋体"/>
          <w:sz w:val="24"/>
          <w:highlight w:val="none"/>
        </w:rPr>
      </w:pPr>
      <w:bookmarkStart w:id="48" w:name="_Toc520958258"/>
      <w:bookmarkStart w:id="49" w:name="_Toc516734869"/>
      <w:bookmarkStart w:id="50" w:name="_Toc17554"/>
      <w:bookmarkStart w:id="51" w:name="_Toc518573420"/>
      <w:bookmarkStart w:id="52" w:name="_Toc27082236"/>
      <w:r>
        <w:rPr>
          <w:rFonts w:hint="eastAsia" w:ascii="宋体" w:hAnsi="宋体" w:eastAsia="宋体"/>
          <w:sz w:val="24"/>
          <w:highlight w:val="none"/>
        </w:rPr>
        <w:t>七. 授予合同</w:t>
      </w:r>
      <w:bookmarkEnd w:id="48"/>
      <w:bookmarkEnd w:id="49"/>
      <w:bookmarkEnd w:id="50"/>
      <w:bookmarkEnd w:id="51"/>
      <w:bookmarkEnd w:id="52"/>
    </w:p>
    <w:p>
      <w:pPr>
        <w:spacing w:line="360" w:lineRule="auto"/>
        <w:rPr>
          <w:rFonts w:ascii="宋体" w:hAnsi="宋体"/>
          <w:b/>
          <w:sz w:val="24"/>
          <w:highlight w:val="none"/>
        </w:rPr>
      </w:pPr>
      <w:r>
        <w:rPr>
          <w:rFonts w:hint="eastAsia" w:ascii="宋体" w:hAnsi="宋体"/>
          <w:b/>
          <w:sz w:val="24"/>
          <w:highlight w:val="none"/>
        </w:rPr>
        <w:t>27. 推荐成交候选供应商</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27.1</w:t>
      </w:r>
      <w:r>
        <w:rPr>
          <w:rFonts w:hint="eastAsia" w:ascii="宋体" w:hAnsi="宋体"/>
          <w:sz w:val="24"/>
          <w:szCs w:val="24"/>
          <w:highlight w:val="none"/>
          <w:lang w:val="en-GB"/>
        </w:rPr>
        <w:t xml:space="preserve"> 磋商小组将审查成交候选供应商是否有能力全面地履行合同。</w:t>
      </w:r>
    </w:p>
    <w:p>
      <w:pPr>
        <w:spacing w:line="360" w:lineRule="auto"/>
        <w:ind w:left="480" w:hanging="480" w:hangingChars="200"/>
        <w:rPr>
          <w:rFonts w:ascii="宋体" w:hAnsi="宋体"/>
          <w:sz w:val="24"/>
          <w:szCs w:val="24"/>
          <w:highlight w:val="none"/>
          <w:lang w:val="en-GB"/>
        </w:rPr>
      </w:pPr>
      <w:r>
        <w:rPr>
          <w:rFonts w:hint="eastAsia" w:ascii="宋体" w:hAnsi="宋体"/>
          <w:sz w:val="24"/>
          <w:szCs w:val="24"/>
          <w:highlight w:val="none"/>
        </w:rPr>
        <w:t>27.2</w:t>
      </w:r>
      <w:r>
        <w:rPr>
          <w:rFonts w:hint="eastAsia" w:ascii="宋体" w:hAnsi="宋体"/>
          <w:sz w:val="24"/>
          <w:szCs w:val="24"/>
          <w:highlight w:val="none"/>
          <w:lang w:val="en-GB"/>
        </w:rPr>
        <w:t xml:space="preserve"> 磋商结束后，</w:t>
      </w:r>
      <w:r>
        <w:rPr>
          <w:rFonts w:hint="eastAsia" w:ascii="宋体" w:hAnsi="宋体"/>
          <w:sz w:val="24"/>
          <w:szCs w:val="24"/>
          <w:highlight w:val="none"/>
          <w:lang w:val="en-GB" w:eastAsia="zh-CN"/>
        </w:rPr>
        <w:t>采购人</w:t>
      </w:r>
      <w:r>
        <w:rPr>
          <w:rFonts w:hint="eastAsia" w:ascii="宋体" w:hAnsi="宋体"/>
          <w:sz w:val="24"/>
          <w:szCs w:val="24"/>
          <w:highlight w:val="none"/>
          <w:lang w:val="en-GB"/>
        </w:rPr>
        <w:t>将编制竞争性磋商报告。并依据磋商报告的内容，遵循《</w:t>
      </w:r>
      <w:r>
        <w:rPr>
          <w:rFonts w:hint="eastAsia" w:ascii="宋体" w:hAnsi="宋体"/>
          <w:sz w:val="24"/>
          <w:szCs w:val="24"/>
          <w:highlight w:val="none"/>
          <w:lang w:val="en-US" w:eastAsia="zh-CN"/>
        </w:rPr>
        <w:t>采购管理办法</w:t>
      </w:r>
      <w:r>
        <w:rPr>
          <w:rFonts w:hint="eastAsia" w:ascii="宋体" w:hAnsi="宋体"/>
          <w:sz w:val="24"/>
          <w:szCs w:val="24"/>
          <w:highlight w:val="none"/>
          <w:lang w:val="en-GB"/>
        </w:rPr>
        <w:t>》，确认成交候选供应商。</w:t>
      </w:r>
    </w:p>
    <w:p>
      <w:pPr>
        <w:spacing w:line="360" w:lineRule="auto"/>
        <w:rPr>
          <w:rFonts w:ascii="宋体" w:hAnsi="宋体"/>
          <w:b/>
          <w:sz w:val="24"/>
          <w:highlight w:val="none"/>
        </w:rPr>
      </w:pPr>
      <w:r>
        <w:rPr>
          <w:rFonts w:hint="eastAsia" w:ascii="宋体" w:hAnsi="宋体"/>
          <w:b/>
          <w:sz w:val="24"/>
          <w:highlight w:val="none"/>
        </w:rPr>
        <w:t>28.公示</w:t>
      </w:r>
    </w:p>
    <w:p>
      <w:pPr>
        <w:spacing w:line="360" w:lineRule="auto"/>
        <w:ind w:left="510" w:hanging="510"/>
        <w:rPr>
          <w:rFonts w:ascii="宋体" w:hAnsi="宋体"/>
          <w:sz w:val="24"/>
          <w:szCs w:val="24"/>
          <w:highlight w:val="none"/>
        </w:rPr>
      </w:pPr>
      <w:bookmarkStart w:id="53" w:name="_Toc224097229"/>
      <w:r>
        <w:rPr>
          <w:rFonts w:hint="eastAsia" w:ascii="宋体" w:hAnsi="宋体"/>
          <w:sz w:val="24"/>
          <w:szCs w:val="24"/>
          <w:highlight w:val="none"/>
        </w:rPr>
        <w:t xml:space="preserve">28.1 </w:t>
      </w:r>
      <w:r>
        <w:rPr>
          <w:rFonts w:hint="eastAsia" w:ascii="宋体" w:hAnsi="宋体"/>
          <w:sz w:val="24"/>
          <w:szCs w:val="24"/>
          <w:highlight w:val="none"/>
          <w:lang w:val="en-US" w:eastAsia="zh-CN"/>
        </w:rPr>
        <w:t>因项目涉及公司商业机密，</w:t>
      </w:r>
      <w:r>
        <w:rPr>
          <w:rFonts w:hint="eastAsia" w:ascii="宋体" w:hAnsi="宋体"/>
          <w:sz w:val="24"/>
          <w:szCs w:val="24"/>
          <w:highlight w:val="none"/>
        </w:rPr>
        <w:t>磋商结束后，</w:t>
      </w:r>
      <w:r>
        <w:rPr>
          <w:rFonts w:hint="eastAsia" w:ascii="宋体" w:hAnsi="宋体"/>
          <w:sz w:val="24"/>
          <w:szCs w:val="24"/>
          <w:highlight w:val="none"/>
          <w:lang w:val="en-US" w:eastAsia="zh-CN"/>
        </w:rPr>
        <w:t>采购人通过线下方式告知投标者结果</w:t>
      </w:r>
      <w:r>
        <w:rPr>
          <w:rFonts w:hint="eastAsia" w:ascii="宋体" w:hAnsi="宋体"/>
          <w:sz w:val="24"/>
          <w:szCs w:val="24"/>
          <w:highlight w:val="none"/>
        </w:rPr>
        <w:t>。</w:t>
      </w:r>
      <w:bookmarkEnd w:id="53"/>
    </w:p>
    <w:p>
      <w:pPr>
        <w:spacing w:line="360" w:lineRule="auto"/>
        <w:ind w:left="567" w:hanging="567"/>
        <w:rPr>
          <w:rFonts w:ascii="宋体" w:hAnsi="宋体"/>
          <w:sz w:val="24"/>
          <w:szCs w:val="24"/>
          <w:highlight w:val="none"/>
        </w:rPr>
      </w:pPr>
      <w:r>
        <w:rPr>
          <w:rFonts w:hint="eastAsia" w:ascii="宋体" w:hAnsi="宋体"/>
          <w:sz w:val="24"/>
          <w:szCs w:val="24"/>
          <w:highlight w:val="none"/>
        </w:rPr>
        <w:t>28.2供应商对成交结果有质疑的，应当在公示期内以书面形式向采购采购单位提出。质疑书必须署名，由法定代表人或者供应商代表签字（或盖章），并加盖供应商单位公章。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质疑书应当包括下列主要内容：</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1）质疑人和被质疑人的名称、质疑人的地址、电话等；</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2）具体的质疑事项、事实根据和法律依据以及相关证明材料；</w:t>
      </w:r>
    </w:p>
    <w:p>
      <w:pPr>
        <w:spacing w:line="360" w:lineRule="auto"/>
        <w:ind w:left="567" w:hanging="567"/>
        <w:rPr>
          <w:rFonts w:ascii="宋体" w:hAnsi="宋体"/>
          <w:sz w:val="24"/>
          <w:szCs w:val="24"/>
          <w:highlight w:val="none"/>
        </w:rPr>
      </w:pPr>
      <w:r>
        <w:rPr>
          <w:rFonts w:hint="eastAsia" w:ascii="宋体" w:hAnsi="宋体"/>
          <w:sz w:val="24"/>
          <w:szCs w:val="24"/>
          <w:highlight w:val="none"/>
        </w:rPr>
        <w:t xml:space="preserve">     3）提起质疑的日期。</w:t>
      </w:r>
    </w:p>
    <w:p>
      <w:pPr>
        <w:spacing w:line="360" w:lineRule="auto"/>
        <w:rPr>
          <w:rFonts w:ascii="宋体" w:hAnsi="宋体"/>
          <w:b/>
          <w:sz w:val="24"/>
          <w:highlight w:val="none"/>
        </w:rPr>
      </w:pPr>
      <w:r>
        <w:rPr>
          <w:rFonts w:hint="eastAsia" w:ascii="宋体" w:hAnsi="宋体"/>
          <w:b/>
          <w:sz w:val="24"/>
          <w:highlight w:val="none"/>
        </w:rPr>
        <w:t>29. 成交通知书</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.1</w:t>
      </w:r>
      <w:r>
        <w:rPr>
          <w:rFonts w:hint="eastAsia" w:ascii="宋体" w:hAnsi="宋体"/>
          <w:sz w:val="24"/>
          <w:szCs w:val="24"/>
          <w:highlight w:val="none"/>
        </w:rPr>
        <w:t xml:space="preserve"> 采购</w:t>
      </w:r>
      <w:r>
        <w:rPr>
          <w:rFonts w:hint="eastAsia" w:ascii="宋体" w:hAnsi="宋体"/>
          <w:sz w:val="24"/>
          <w:szCs w:val="24"/>
          <w:highlight w:val="none"/>
          <w:lang w:val="en-US" w:eastAsia="zh-CN"/>
        </w:rPr>
        <w:t>人需</w:t>
      </w:r>
      <w:r>
        <w:rPr>
          <w:rFonts w:hint="eastAsia" w:ascii="宋体" w:hAnsi="宋体"/>
          <w:sz w:val="24"/>
          <w:szCs w:val="24"/>
          <w:highlight w:val="none"/>
        </w:rPr>
        <w:t>向成交供应商发出中标通知书。</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 xml:space="preserve">.2 </w:t>
      </w:r>
      <w:r>
        <w:rPr>
          <w:rFonts w:hint="eastAsia" w:ascii="宋体" w:hAnsi="宋体"/>
          <w:sz w:val="24"/>
          <w:szCs w:val="24"/>
          <w:highlight w:val="none"/>
        </w:rPr>
        <w:t>中标通知书是合同的一个组成部分。</w:t>
      </w:r>
    </w:p>
    <w:p>
      <w:pPr>
        <w:spacing w:line="360" w:lineRule="auto"/>
        <w:ind w:left="510" w:hanging="510"/>
        <w:rPr>
          <w:rFonts w:ascii="宋体" w:hAnsi="宋体"/>
          <w:sz w:val="24"/>
          <w:szCs w:val="24"/>
          <w:highlight w:val="none"/>
        </w:rPr>
      </w:pPr>
      <w:r>
        <w:rPr>
          <w:rFonts w:hint="eastAsia" w:ascii="宋体" w:hAnsi="宋体"/>
          <w:sz w:val="24"/>
          <w:szCs w:val="24"/>
          <w:highlight w:val="none"/>
        </w:rPr>
        <w:t>29</w:t>
      </w:r>
      <w:r>
        <w:rPr>
          <w:rFonts w:ascii="宋体" w:hAnsi="宋体"/>
          <w:sz w:val="24"/>
          <w:szCs w:val="24"/>
          <w:highlight w:val="none"/>
        </w:rPr>
        <w:t>.3</w:t>
      </w:r>
      <w:r>
        <w:rPr>
          <w:rFonts w:hint="eastAsia" w:ascii="宋体" w:hAnsi="宋体"/>
          <w:sz w:val="24"/>
          <w:szCs w:val="24"/>
          <w:highlight w:val="none"/>
        </w:rPr>
        <w:t xml:space="preserve"> 当中标通知书发出后，</w:t>
      </w:r>
      <w:r>
        <w:rPr>
          <w:rFonts w:hint="eastAsia" w:ascii="宋体" w:hAnsi="宋体"/>
          <w:sz w:val="24"/>
          <w:szCs w:val="24"/>
          <w:highlight w:val="none"/>
          <w:lang w:val="en-US" w:eastAsia="zh-CN"/>
        </w:rPr>
        <w:t>采购人</w:t>
      </w:r>
      <w:r>
        <w:rPr>
          <w:rFonts w:hint="eastAsia" w:ascii="宋体" w:hAnsi="宋体"/>
          <w:sz w:val="24"/>
          <w:szCs w:val="24"/>
          <w:highlight w:val="none"/>
        </w:rPr>
        <w:t xml:space="preserve">将通知所有未成交的供应商。 </w:t>
      </w:r>
    </w:p>
    <w:p>
      <w:pPr>
        <w:spacing w:line="360" w:lineRule="auto"/>
        <w:rPr>
          <w:rFonts w:ascii="宋体" w:hAnsi="宋体"/>
          <w:b/>
          <w:sz w:val="24"/>
          <w:highlight w:val="none"/>
        </w:rPr>
      </w:pPr>
      <w:r>
        <w:rPr>
          <w:rFonts w:hint="eastAsia" w:ascii="宋体" w:hAnsi="宋体"/>
          <w:b/>
          <w:sz w:val="24"/>
          <w:highlight w:val="none"/>
        </w:rPr>
        <w:t>30. 签订合同</w:t>
      </w:r>
    </w:p>
    <w:p>
      <w:pPr>
        <w:spacing w:line="360" w:lineRule="auto"/>
        <w:ind w:left="510" w:hanging="510"/>
        <w:rPr>
          <w:rFonts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 xml:space="preserve"> 中标单位应按中标通知书规定的时间、地点与采购人签订合同，否则按磋商有效期内撤回其磋商响应文件处理。</w:t>
      </w:r>
    </w:p>
    <w:p>
      <w:pPr>
        <w:spacing w:line="360" w:lineRule="auto"/>
        <w:ind w:left="510" w:hanging="510"/>
        <w:rPr>
          <w:rFonts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.2</w:t>
      </w:r>
      <w:r>
        <w:rPr>
          <w:rFonts w:hint="eastAsia" w:ascii="宋体" w:hAnsi="宋体"/>
          <w:sz w:val="24"/>
          <w:szCs w:val="24"/>
          <w:highlight w:val="none"/>
        </w:rPr>
        <w:t xml:space="preserve"> 磋商文件、中标单位的磋商响应文件及磋商过程中有关澄清文件均应作为签订合同的依据。</w:t>
      </w:r>
    </w:p>
    <w:p>
      <w:pPr>
        <w:spacing w:line="360" w:lineRule="auto"/>
        <w:ind w:left="567" w:hanging="567"/>
        <w:rPr>
          <w:rFonts w:ascii="宋体" w:hAnsi="宋体"/>
          <w:sz w:val="24"/>
          <w:szCs w:val="24"/>
          <w:highlight w:val="none"/>
        </w:rPr>
      </w:pPr>
      <w:r>
        <w:rPr>
          <w:rFonts w:hint="eastAsia" w:ascii="宋体" w:hAnsi="宋体"/>
          <w:sz w:val="24"/>
          <w:szCs w:val="24"/>
          <w:highlight w:val="none"/>
        </w:rPr>
        <w:t>30.3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highlight w:val="none"/>
        </w:rPr>
      </w:pPr>
      <w:r>
        <w:rPr>
          <w:rFonts w:ascii="宋体" w:hAnsi="宋体"/>
          <w:highlight w:val="none"/>
        </w:rPr>
        <w:br w:type="page"/>
      </w:r>
    </w:p>
    <w:p>
      <w:pPr>
        <w:pStyle w:val="32"/>
        <w:spacing w:line="360" w:lineRule="auto"/>
        <w:ind w:left="0"/>
        <w:jc w:val="center"/>
        <w:outlineLvl w:val="0"/>
        <w:rPr>
          <w:b/>
          <w:sz w:val="32"/>
          <w:szCs w:val="32"/>
          <w:highlight w:val="none"/>
        </w:rPr>
      </w:pPr>
      <w:bookmarkStart w:id="54" w:name="_Toc262628284"/>
      <w:r>
        <w:rPr>
          <w:rFonts w:hint="eastAsia"/>
          <w:b/>
          <w:sz w:val="32"/>
          <w:szCs w:val="32"/>
          <w:highlight w:val="none"/>
        </w:rPr>
        <w:t xml:space="preserve">第三章 </w:t>
      </w:r>
      <w:bookmarkStart w:id="55" w:name="_Toc26030"/>
      <w:r>
        <w:rPr>
          <w:rFonts w:hint="eastAsia"/>
          <w:b/>
          <w:sz w:val="32"/>
          <w:szCs w:val="32"/>
          <w:highlight w:val="none"/>
        </w:rPr>
        <w:t>合同主要条款</w:t>
      </w:r>
      <w:bookmarkEnd w:id="55"/>
      <w:r>
        <w:rPr>
          <w:rFonts w:hint="eastAsia"/>
          <w:b/>
          <w:sz w:val="32"/>
          <w:szCs w:val="32"/>
          <w:highlight w:val="none"/>
        </w:rPr>
        <w:t>（模板）</w:t>
      </w:r>
    </w:p>
    <w:p>
      <w:pPr>
        <w:rPr>
          <w:highlight w:val="none"/>
        </w:rPr>
      </w:pPr>
    </w:p>
    <w:tbl>
      <w:tblPr>
        <w:tblStyle w:val="39"/>
        <w:tblpPr w:leftFromText="180" w:rightFromText="180" w:vertAnchor="page" w:horzAnchor="page" w:tblpX="6480" w:tblpY="2637"/>
        <w:tblOverlap w:val="never"/>
        <w:tblW w:w="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18" w:type="dxa"/>
          </w:tcPr>
          <w:p>
            <w:pPr>
              <w:pStyle w:val="3"/>
              <w:jc w:val="center"/>
              <w:rPr>
                <w:rFonts w:ascii="方正小标宋简体" w:hAnsi="方正小标宋简体" w:eastAsia="方正小标宋简体" w:cs="方正小标宋简体"/>
                <w:b w:val="0"/>
                <w:sz w:val="44"/>
                <w:szCs w:val="44"/>
                <w:highlight w:val="none"/>
              </w:rPr>
            </w:pPr>
            <w:bookmarkStart w:id="56" w:name="_Toc286758345"/>
            <w:r>
              <w:rPr>
                <w:rFonts w:ascii="方正小标宋简体" w:hAnsi="方正小标宋简体" w:eastAsia="方正小标宋简体" w:cs="方正小标宋简体"/>
                <w:b w:val="0"/>
                <w:sz w:val="28"/>
                <w:szCs w:val="28"/>
                <w:highlight w:val="none"/>
              </w:rPr>
              <w:t>合同编号</w:t>
            </w:r>
            <w:r>
              <w:rPr>
                <w:rFonts w:ascii="仿宋_GB2312" w:hAnsi="仿宋_GB2312" w:eastAsia="仿宋_GB2312" w:cs="仿宋_GB2312"/>
                <w:bCs w:val="0"/>
                <w:sz w:val="28"/>
                <w:szCs w:val="28"/>
                <w:highlight w:val="none"/>
              </w:rPr>
              <w:t>：</w:t>
            </w:r>
          </w:p>
        </w:tc>
        <w:tc>
          <w:tcPr>
            <w:tcW w:w="3347" w:type="dxa"/>
          </w:tcPr>
          <w:p>
            <w:pPr>
              <w:pStyle w:val="3"/>
              <w:rPr>
                <w:rFonts w:ascii="仿宋_GB2312" w:hAnsi="仿宋_GB2312" w:eastAsia="仿宋_GB2312" w:cs="仿宋_GB2312"/>
                <w:b w:val="0"/>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仿宋" w:hAnsi="仿宋" w:eastAsia="仿宋" w:cs="仿宋"/>
          <w:sz w:val="24"/>
          <w:szCs w:val="24"/>
          <w:highlight w:val="none"/>
        </w:rPr>
      </w:pPr>
    </w:p>
    <w:p>
      <w:pPr>
        <w:rPr>
          <w:highlight w:val="none"/>
        </w:rPr>
      </w:pPr>
      <w:r>
        <w:rPr>
          <w:rFonts w:hint="eastAsia" w:ascii="仿宋" w:hAnsi="仿宋" w:eastAsia="仿宋" w:cs="仿宋"/>
          <w:sz w:val="24"/>
          <w:szCs w:val="24"/>
          <w:highlight w:val="none"/>
        </w:rPr>
        <w:t>__________________________________________________________________</w:t>
      </w:r>
      <w:r>
        <w:rPr>
          <w:rFonts w:hint="eastAsia" w:ascii="方正小标宋简体" w:hAnsi="方正小标宋简体" w:eastAsia="方正小标宋简体" w:cs="方正小标宋简体"/>
          <w:bCs/>
          <w:sz w:val="52"/>
          <w:szCs w:val="52"/>
          <w:highlight w:val="none"/>
        </w:rPr>
        <w:t>项目</w:t>
      </w:r>
    </w:p>
    <w:p>
      <w:pPr>
        <w:jc w:val="center"/>
        <w:rPr>
          <w:b/>
          <w:bCs/>
          <w:sz w:val="48"/>
          <w:szCs w:val="48"/>
          <w:highlight w:val="none"/>
        </w:rPr>
      </w:pPr>
      <w:r>
        <w:rPr>
          <w:rFonts w:hint="eastAsia"/>
          <w:b/>
          <w:bCs/>
          <w:sz w:val="48"/>
          <w:szCs w:val="48"/>
          <w:highlight w:val="none"/>
        </w:rPr>
        <w:t>技</w:t>
      </w:r>
    </w:p>
    <w:p>
      <w:pPr>
        <w:jc w:val="center"/>
        <w:rPr>
          <w:b/>
          <w:bCs/>
          <w:sz w:val="48"/>
          <w:szCs w:val="48"/>
          <w:highlight w:val="none"/>
        </w:rPr>
      </w:pPr>
      <w:r>
        <w:rPr>
          <w:rFonts w:hint="eastAsia"/>
          <w:b/>
          <w:bCs/>
          <w:sz w:val="48"/>
          <w:szCs w:val="48"/>
          <w:highlight w:val="none"/>
        </w:rPr>
        <w:t>术</w:t>
      </w:r>
    </w:p>
    <w:p>
      <w:pPr>
        <w:jc w:val="center"/>
        <w:rPr>
          <w:b/>
          <w:bCs/>
          <w:sz w:val="48"/>
          <w:szCs w:val="48"/>
          <w:highlight w:val="none"/>
        </w:rPr>
      </w:pPr>
      <w:r>
        <w:rPr>
          <w:rFonts w:hint="eastAsia"/>
          <w:b/>
          <w:bCs/>
          <w:sz w:val="48"/>
          <w:szCs w:val="48"/>
          <w:highlight w:val="none"/>
        </w:rPr>
        <w:t>服</w:t>
      </w:r>
    </w:p>
    <w:p>
      <w:pPr>
        <w:jc w:val="center"/>
        <w:rPr>
          <w:b/>
          <w:bCs/>
          <w:sz w:val="48"/>
          <w:szCs w:val="48"/>
          <w:highlight w:val="none"/>
        </w:rPr>
      </w:pPr>
      <w:r>
        <w:rPr>
          <w:rFonts w:hint="eastAsia"/>
          <w:b/>
          <w:bCs/>
          <w:sz w:val="48"/>
          <w:szCs w:val="48"/>
          <w:highlight w:val="none"/>
        </w:rPr>
        <w:t>务</w:t>
      </w:r>
    </w:p>
    <w:p>
      <w:pPr>
        <w:jc w:val="center"/>
        <w:rPr>
          <w:b/>
          <w:bCs/>
          <w:sz w:val="48"/>
          <w:szCs w:val="48"/>
          <w:highlight w:val="none"/>
        </w:rPr>
      </w:pPr>
      <w:r>
        <w:rPr>
          <w:rFonts w:hint="eastAsia"/>
          <w:b/>
          <w:bCs/>
          <w:sz w:val="48"/>
          <w:szCs w:val="48"/>
          <w:highlight w:val="none"/>
        </w:rPr>
        <w:t>合</w:t>
      </w:r>
    </w:p>
    <w:p>
      <w:pPr>
        <w:jc w:val="center"/>
        <w:rPr>
          <w:b/>
          <w:bCs/>
          <w:sz w:val="48"/>
          <w:szCs w:val="48"/>
          <w:highlight w:val="none"/>
        </w:rPr>
      </w:pPr>
      <w:r>
        <w:rPr>
          <w:rFonts w:hint="eastAsia"/>
          <w:b/>
          <w:bCs/>
          <w:sz w:val="48"/>
          <w:szCs w:val="48"/>
          <w:highlight w:val="none"/>
        </w:rPr>
        <w:t>同</w:t>
      </w: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jc w:val="center"/>
        <w:rPr>
          <w:rFonts w:ascii="方正小标宋简体" w:hAnsi="方正小标宋简体" w:eastAsia="方正小标宋简体" w:cs="方正小标宋简体"/>
          <w:sz w:val="32"/>
          <w:szCs w:val="32"/>
          <w:highlight w:val="none"/>
          <w:u w:val="single"/>
        </w:rPr>
      </w:pPr>
      <w:r>
        <w:rPr>
          <w:rFonts w:hint="eastAsia" w:ascii="方正小标宋简体" w:hAnsi="方正小标宋简体" w:eastAsia="方正小标宋简体" w:cs="方正小标宋简体"/>
          <w:sz w:val="32"/>
          <w:szCs w:val="32"/>
          <w:highlight w:val="none"/>
          <w:u w:val="single"/>
        </w:rPr>
        <w:t xml:space="preserve">           </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u w:val="single"/>
        </w:rPr>
        <w:t xml:space="preserve">          </w:t>
      </w:r>
      <w:r>
        <w:rPr>
          <w:rFonts w:hint="eastAsia" w:ascii="方正小标宋简体" w:hAnsi="方正小标宋简体" w:eastAsia="方正小标宋简体" w:cs="方正小标宋简体"/>
          <w:sz w:val="32"/>
          <w:szCs w:val="32"/>
          <w:highlight w:val="none"/>
        </w:rPr>
        <w:t>月</w:t>
      </w:r>
    </w:p>
    <w:p>
      <w:pPr>
        <w:rPr>
          <w:rFonts w:ascii="仿宋_GB2312" w:hAnsi="仿宋_GB2312" w:eastAsia="仿宋_GB2312" w:cs="仿宋_GB2312"/>
          <w:sz w:val="28"/>
          <w:szCs w:val="28"/>
          <w:highlight w:val="none"/>
        </w:rPr>
      </w:pPr>
    </w:p>
    <w:p>
      <w:pPr>
        <w:rPr>
          <w:highlight w:val="none"/>
        </w:rPr>
      </w:pPr>
      <w:r>
        <w:rPr>
          <w:rFonts w:hint="eastAsia"/>
          <w:highlight w:val="none"/>
        </w:rPr>
        <w:t xml:space="preserve">    </w:t>
      </w:r>
    </w:p>
    <w:p>
      <w:pPr>
        <w:rPr>
          <w:highlight w:val="none"/>
        </w:rPr>
      </w:pPr>
      <w:r>
        <w:rPr>
          <w:highlight w:val="none"/>
        </w:rPr>
        <w:br w:type="page"/>
      </w:r>
    </w:p>
    <w:p>
      <w:pPr>
        <w:jc w:val="center"/>
        <w:rPr>
          <w:rFonts w:ascii="仿宋_GB2312" w:hAnsi="仿宋_GB2312" w:eastAsia="仿宋_GB2312" w:cs="仿宋_GB2312"/>
          <w:sz w:val="24"/>
          <w:szCs w:val="24"/>
          <w:highlight w:val="none"/>
        </w:rPr>
      </w:pPr>
    </w:p>
    <w:p>
      <w:pPr>
        <w:jc w:val="center"/>
        <w:rPr>
          <w:rFonts w:ascii="仿宋" w:hAnsi="仿宋" w:eastAsia="仿宋" w:cs="仿宋"/>
          <w:b/>
          <w:bCs/>
          <w:sz w:val="24"/>
          <w:szCs w:val="24"/>
          <w:highlight w:val="none"/>
        </w:rPr>
      </w:pPr>
    </w:p>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填写说明</w:t>
      </w:r>
    </w:p>
    <w:p>
      <w:pPr>
        <w:jc w:val="center"/>
        <w:rPr>
          <w:rFonts w:ascii="仿宋" w:hAnsi="仿宋" w:eastAsia="仿宋" w:cs="仿宋"/>
          <w:sz w:val="24"/>
          <w:szCs w:val="24"/>
          <w:highlight w:val="none"/>
        </w:rPr>
      </w:pPr>
    </w:p>
    <w:p>
      <w:pPr>
        <w:jc w:val="center"/>
        <w:rPr>
          <w:rFonts w:ascii="仿宋" w:hAnsi="仿宋" w:eastAsia="仿宋" w:cs="仿宋"/>
          <w:sz w:val="24"/>
          <w:szCs w:val="24"/>
          <w:highlight w:val="none"/>
        </w:rPr>
      </w:pP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一、本合同为江西省</w:t>
      </w:r>
      <w:r>
        <w:rPr>
          <w:rFonts w:hint="eastAsia" w:ascii="仿宋" w:hAnsi="仿宋" w:eastAsia="仿宋" w:cs="仿宋"/>
          <w:sz w:val="24"/>
          <w:szCs w:val="24"/>
          <w:highlight w:val="none"/>
          <w:lang w:eastAsia="zh-Hans"/>
        </w:rPr>
        <w:t>水投</w:t>
      </w:r>
      <w:r>
        <w:rPr>
          <w:rFonts w:hint="eastAsia" w:ascii="仿宋" w:hAnsi="仿宋" w:eastAsia="仿宋" w:cs="仿宋"/>
          <w:sz w:val="24"/>
          <w:szCs w:val="24"/>
          <w:highlight w:val="none"/>
        </w:rPr>
        <w:t>江河信息技术有限公司印制的技术服务合同规范文本，各部门请依规使用。</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二、本合同书适用于一方当事人（受托方）以技术知识为另一方（委托方）解决特定技术问题所订立的合同。</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三、本合同示范文本所表述的“【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”和表格中的内容，请根据具体情况填写。无需填写的，应当注明“无”的字样。</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四、在具体订立合同时，应当删除本合同示范文本所表述的“【 】”符号。</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五、本合同书除尾页签订盖章外，内容填写原则上应使用电子录入，特殊情况手写的，字迹应清晰可辨。</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六、本合同书未尽事项，可于合同范本中增加条款，增加条款后的合同，应经过法律顾问审查通过后方可使用。</w:t>
      </w:r>
    </w:p>
    <w:p>
      <w:pPr>
        <w:ind w:firstLine="640" w:firstLineChars="200"/>
        <w:rPr>
          <w:rFonts w:ascii="仿宋" w:hAnsi="仿宋" w:eastAsia="仿宋" w:cs="仿宋"/>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ind w:firstLine="640" w:firstLineChars="200"/>
        <w:rPr>
          <w:rFonts w:ascii="仿宋_GB2312" w:hAnsi="仿宋_GB2312" w:eastAsia="仿宋_GB2312" w:cs="仿宋_GB2312"/>
          <w:sz w:val="32"/>
          <w:szCs w:val="32"/>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rPr>
          <w:rFonts w:ascii="仿宋" w:hAnsi="仿宋" w:eastAsia="仿宋" w:cs="仿宋"/>
          <w:sz w:val="24"/>
          <w:szCs w:val="24"/>
          <w:highlight w:val="none"/>
        </w:rPr>
      </w:pPr>
    </w:p>
    <w:p>
      <w:pPr>
        <w:pStyle w:val="37"/>
        <w:ind w:firstLine="210"/>
        <w:rPr>
          <w:highlight w:val="none"/>
        </w:rPr>
      </w:pPr>
    </w:p>
    <w:p>
      <w:pPr>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本合同由下列双方签署： </w:t>
      </w:r>
      <w:r>
        <w:rPr>
          <w:rFonts w:hint="eastAsia" w:ascii="仿宋" w:hAnsi="仿宋" w:eastAsia="仿宋" w:cs="仿宋"/>
          <w:sz w:val="24"/>
          <w:szCs w:val="24"/>
          <w:highlight w:val="none"/>
          <w:u w:val="single"/>
        </w:rPr>
        <w:t xml:space="preserve">         </w:t>
      </w:r>
    </w:p>
    <w:p>
      <w:pPr>
        <w:pStyle w:val="35"/>
        <w:rPr>
          <w:rFonts w:ascii="仿宋" w:hAnsi="仿宋" w:eastAsia="仿宋" w:cs="仿宋"/>
          <w:highlight w:val="none"/>
        </w:rPr>
      </w:pPr>
      <w:r>
        <w:rPr>
          <w:rFonts w:hint="eastAsia" w:ascii="仿宋" w:hAnsi="仿宋" w:eastAsia="仿宋" w:cs="仿宋"/>
          <w:b/>
          <w:highlight w:val="none"/>
        </w:rPr>
        <w:t>甲方（委托方）：</w:t>
      </w:r>
      <w:r>
        <w:rPr>
          <w:rFonts w:hint="eastAsia" w:ascii="仿宋" w:hAnsi="仿宋" w:eastAsia="仿宋" w:cs="仿宋"/>
          <w:highlight w:val="none"/>
          <w:u w:val="single"/>
        </w:rPr>
        <w:t xml:space="preserve">                </w:t>
      </w:r>
    </w:p>
    <w:p>
      <w:pPr>
        <w:pStyle w:val="35"/>
        <w:tabs>
          <w:tab w:val="left" w:pos="2272"/>
        </w:tabs>
        <w:rPr>
          <w:rFonts w:ascii="仿宋" w:hAnsi="仿宋" w:eastAsia="仿宋" w:cs="仿宋"/>
          <w:highlight w:val="none"/>
        </w:rPr>
      </w:pPr>
      <w:r>
        <w:rPr>
          <w:rFonts w:hint="eastAsia" w:ascii="仿宋" w:hAnsi="仿宋" w:eastAsia="仿宋" w:cs="仿宋"/>
          <w:highlight w:val="none"/>
        </w:rPr>
        <w:t xml:space="preserve">法定代表人：       </w:t>
      </w:r>
    </w:p>
    <w:p>
      <w:pPr>
        <w:pStyle w:val="35"/>
        <w:rPr>
          <w:rFonts w:ascii="仿宋" w:hAnsi="仿宋" w:eastAsia="仿宋" w:cs="仿宋"/>
          <w:highlight w:val="none"/>
          <w:u w:val="single"/>
        </w:rPr>
      </w:pPr>
      <w:r>
        <w:rPr>
          <w:rFonts w:hint="eastAsia" w:ascii="仿宋" w:hAnsi="仿宋" w:eastAsia="仿宋" w:cs="仿宋"/>
          <w:b/>
          <w:highlight w:val="none"/>
        </w:rPr>
        <w:t>乙方（受托方）：</w:t>
      </w:r>
      <w:r>
        <w:rPr>
          <w:rFonts w:hint="eastAsia" w:ascii="仿宋" w:hAnsi="仿宋" w:eastAsia="仿宋" w:cs="仿宋"/>
          <w:highlight w:val="none"/>
        </w:rPr>
        <w:t>【            】</w:t>
      </w:r>
      <w:r>
        <w:rPr>
          <w:rFonts w:hint="eastAsia" w:ascii="仿宋" w:hAnsi="仿宋" w:eastAsia="仿宋" w:cs="仿宋"/>
          <w:bCs/>
          <w:highlight w:val="none"/>
          <w:u w:val="single"/>
        </w:rPr>
        <w:t xml:space="preserve">                               </w:t>
      </w:r>
    </w:p>
    <w:p>
      <w:pPr>
        <w:pStyle w:val="35"/>
        <w:rPr>
          <w:rFonts w:ascii="仿宋" w:hAnsi="仿宋" w:eastAsia="仿宋" w:cs="仿宋"/>
          <w:highlight w:val="none"/>
        </w:rPr>
      </w:pPr>
      <w:r>
        <w:rPr>
          <w:rFonts w:hint="eastAsia" w:ascii="仿宋" w:hAnsi="仿宋" w:eastAsia="仿宋" w:cs="仿宋"/>
          <w:highlight w:val="none"/>
        </w:rPr>
        <w:t>法定代表人：【   】</w:t>
      </w:r>
    </w:p>
    <w:p>
      <w:pPr>
        <w:pStyle w:val="35"/>
        <w:rPr>
          <w:rFonts w:ascii="仿宋" w:hAnsi="仿宋" w:eastAsia="仿宋" w:cs="仿宋"/>
          <w:highlight w:val="none"/>
        </w:rPr>
      </w:pPr>
      <w:r>
        <w:rPr>
          <w:rFonts w:hint="eastAsia" w:ascii="仿宋" w:hAnsi="仿宋" w:eastAsia="仿宋" w:cs="仿宋"/>
          <w:highlight w:val="none"/>
        </w:rPr>
        <w:t>   </w:t>
      </w:r>
    </w:p>
    <w:p>
      <w:pPr>
        <w:pStyle w:val="35"/>
        <w:ind w:firstLine="480" w:firstLineChars="200"/>
        <w:rPr>
          <w:rFonts w:ascii="仿宋" w:hAnsi="仿宋" w:eastAsia="仿宋" w:cs="仿宋"/>
          <w:highlight w:val="none"/>
        </w:rPr>
      </w:pPr>
      <w:r>
        <w:rPr>
          <w:rFonts w:hint="eastAsia" w:ascii="仿宋" w:hAnsi="仿宋" w:eastAsia="仿宋" w:cs="仿宋"/>
          <w:highlight w:val="none"/>
        </w:rPr>
        <w:t>本合同甲方委托乙方就</w:t>
      </w:r>
      <w:r>
        <w:rPr>
          <w:rFonts w:hint="eastAsia" w:ascii="仿宋" w:hAnsi="仿宋" w:eastAsia="仿宋" w:cs="仿宋"/>
          <w:highlight w:val="none"/>
          <w:u w:val="single"/>
        </w:rPr>
        <w:t xml:space="preserve">          </w:t>
      </w:r>
      <w:r>
        <w:rPr>
          <w:rFonts w:hint="eastAsia" w:ascii="仿宋" w:hAnsi="仿宋" w:eastAsia="仿宋" w:cs="仿宋"/>
          <w:highlight w:val="none"/>
        </w:rPr>
        <w:t>项目进行</w:t>
      </w:r>
      <w:r>
        <w:rPr>
          <w:rFonts w:hint="eastAsia" w:ascii="仿宋" w:hAnsi="仿宋" w:eastAsia="仿宋" w:cs="仿宋"/>
          <w:highlight w:val="none"/>
          <w:u w:val="single"/>
        </w:rPr>
        <w:t xml:space="preserve">         </w:t>
      </w:r>
      <w:r>
        <w:rPr>
          <w:rFonts w:hint="eastAsia" w:ascii="仿宋" w:hAnsi="仿宋" w:eastAsia="仿宋" w:cs="仿宋"/>
          <w:highlight w:val="none"/>
        </w:rPr>
        <w:t>的专项技术服务，并支付相应的技术服务报酬。双方经过平等协商，在真实、充分地表达各自意愿的基础上，根据《中华人民共和国</w:t>
      </w:r>
      <w:r>
        <w:rPr>
          <w:rFonts w:hint="eastAsia" w:ascii="仿宋" w:hAnsi="仿宋" w:eastAsia="仿宋" w:cs="仿宋"/>
          <w:highlight w:val="none"/>
          <w:lang w:eastAsia="zh-Hans"/>
        </w:rPr>
        <w:t>民法典</w:t>
      </w:r>
      <w:r>
        <w:rPr>
          <w:rFonts w:hint="eastAsia" w:ascii="仿宋" w:hAnsi="仿宋" w:eastAsia="仿宋" w:cs="仿宋"/>
          <w:highlight w:val="none"/>
        </w:rPr>
        <w:t>》及</w:t>
      </w:r>
      <w:r>
        <w:rPr>
          <w:rFonts w:hint="eastAsia" w:ascii="仿宋" w:hAnsi="仿宋" w:eastAsia="仿宋" w:cs="仿宋"/>
          <w:highlight w:val="none"/>
          <w:lang w:eastAsia="zh-Hans"/>
        </w:rPr>
        <w:t>现行有效的相关法律法规规定</w:t>
      </w:r>
      <w:r>
        <w:rPr>
          <w:rFonts w:ascii="仿宋" w:hAnsi="仿宋" w:eastAsia="仿宋" w:cs="仿宋"/>
          <w:highlight w:val="none"/>
          <w:lang w:eastAsia="zh-Hans"/>
        </w:rPr>
        <w:t>，</w:t>
      </w:r>
      <w:r>
        <w:rPr>
          <w:rFonts w:hint="eastAsia" w:ascii="仿宋" w:hAnsi="仿宋" w:eastAsia="仿宋" w:cs="仿宋"/>
          <w:highlight w:val="none"/>
          <w:lang w:eastAsia="zh-Hans"/>
        </w:rPr>
        <w:t>参照</w:t>
      </w:r>
      <w:r>
        <w:rPr>
          <w:rFonts w:hint="eastAsia" w:ascii="仿宋" w:hAnsi="仿宋" w:eastAsia="仿宋" w:cs="仿宋"/>
          <w:highlight w:val="none"/>
        </w:rPr>
        <w:t xml:space="preserve">江西省水投江河信息技术有限公司相关规定，达成如下合同，并由双方共同恪守。      </w:t>
      </w:r>
    </w:p>
    <w:p>
      <w:pPr>
        <w:pStyle w:val="35"/>
        <w:ind w:firstLine="480" w:firstLineChars="200"/>
        <w:rPr>
          <w:rFonts w:ascii="仿宋" w:hAnsi="仿宋" w:eastAsia="仿宋" w:cs="仿宋"/>
          <w:highlight w:val="none"/>
        </w:rPr>
      </w:pPr>
    </w:p>
    <w:p>
      <w:pPr>
        <w:pStyle w:val="35"/>
        <w:jc w:val="center"/>
        <w:rPr>
          <w:rFonts w:ascii="仿宋" w:hAnsi="仿宋" w:eastAsia="仿宋" w:cs="仿宋"/>
          <w:b/>
          <w:bCs/>
          <w:highlight w:val="none"/>
        </w:rPr>
      </w:pPr>
      <w:r>
        <w:rPr>
          <w:rFonts w:hint="eastAsia" w:ascii="仿宋" w:hAnsi="仿宋" w:eastAsia="仿宋" w:cs="仿宋"/>
          <w:b/>
          <w:bCs/>
          <w:highlight w:val="none"/>
        </w:rPr>
        <w:t>合同条款</w:t>
      </w:r>
    </w:p>
    <w:p>
      <w:pPr>
        <w:pStyle w:val="35"/>
        <w:jc w:val="center"/>
        <w:rPr>
          <w:rFonts w:ascii="仿宋" w:hAnsi="仿宋" w:eastAsia="仿宋" w:cs="仿宋"/>
          <w:b/>
          <w:bCs/>
          <w:highlight w:val="none"/>
        </w:rPr>
      </w:pPr>
    </w:p>
    <w:p>
      <w:pPr>
        <w:pStyle w:val="35"/>
        <w:spacing w:before="0" w:beforeAutospacing="0" w:after="0" w:afterAutospacing="0" w:line="360" w:lineRule="atLeast"/>
        <w:rPr>
          <w:rFonts w:ascii="仿宋" w:hAnsi="仿宋" w:eastAsia="仿宋" w:cs="仿宋"/>
          <w:highlight w:val="none"/>
        </w:rPr>
      </w:pPr>
      <w:r>
        <w:rPr>
          <w:rStyle w:val="42"/>
          <w:rFonts w:hint="eastAsia" w:ascii="仿宋" w:hAnsi="仿宋" w:eastAsia="仿宋" w:cs="仿宋"/>
          <w:highlight w:val="none"/>
        </w:rPr>
        <w:t>一、技术服务的目标、内容及方式</w:t>
      </w:r>
    </w:p>
    <w:p>
      <w:pPr>
        <w:pStyle w:val="35"/>
        <w:rPr>
          <w:rFonts w:ascii="仿宋" w:hAnsi="仿宋" w:eastAsia="仿宋" w:cs="仿宋"/>
          <w:highlight w:val="none"/>
        </w:rPr>
      </w:pPr>
      <w:r>
        <w:rPr>
          <w:rFonts w:hint="eastAsia" w:ascii="仿宋" w:hAnsi="仿宋" w:eastAsia="仿宋" w:cs="仿宋"/>
          <w:highlight w:val="none"/>
        </w:rPr>
        <w:t>（一）技术服务的目标：</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（二）技术服务的内容：</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（三）技术服务的方式：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二、技术服务履行的地点、期限及计划</w:t>
      </w:r>
    </w:p>
    <w:p>
      <w:pPr>
        <w:pStyle w:val="35"/>
        <w:rPr>
          <w:rFonts w:ascii="仿宋" w:hAnsi="仿宋" w:eastAsia="仿宋" w:cs="仿宋"/>
          <w:highlight w:val="none"/>
        </w:rPr>
      </w:pPr>
      <w:r>
        <w:rPr>
          <w:rFonts w:hint="eastAsia" w:ascii="仿宋" w:hAnsi="仿宋" w:eastAsia="仿宋" w:cs="仿宋"/>
          <w:highlight w:val="none"/>
        </w:rPr>
        <w:t>（一）技术服务地点：</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（二）技术服务期限：</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（三）技术服务计划：</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三、技术服务质量要求</w:t>
      </w:r>
    </w:p>
    <w:p>
      <w:pPr>
        <w:pStyle w:val="35"/>
        <w:rPr>
          <w:rFonts w:ascii="仿宋" w:hAnsi="仿宋" w:eastAsia="仿宋" w:cs="仿宋"/>
          <w:highlight w:val="none"/>
        </w:rPr>
      </w:pPr>
      <w:r>
        <w:rPr>
          <w:rFonts w:hint="eastAsia" w:ascii="仿宋" w:hAnsi="仿宋" w:eastAsia="仿宋" w:cs="仿宋"/>
          <w:highlight w:val="none"/>
        </w:rPr>
        <w:t>（四）技术服务质量要求：</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（五）技术服务质量期限要求：</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spacing w:before="0" w:beforeAutospacing="0" w:after="0" w:afterAutospacing="0" w:line="360" w:lineRule="atLeast"/>
        <w:rPr>
          <w:rStyle w:val="42"/>
          <w:rFonts w:ascii="仿宋" w:hAnsi="仿宋" w:eastAsia="仿宋" w:cs="仿宋"/>
          <w:highlight w:val="none"/>
        </w:rPr>
      </w:pPr>
      <w:r>
        <w:rPr>
          <w:rStyle w:val="42"/>
          <w:rFonts w:hint="eastAsia" w:ascii="仿宋" w:hAnsi="仿宋" w:eastAsia="仿宋" w:cs="仿宋"/>
          <w:highlight w:val="none"/>
        </w:rPr>
        <w:t>四、技术协作与技术指导</w:t>
      </w:r>
    </w:p>
    <w:p>
      <w:pPr>
        <w:pStyle w:val="35"/>
        <w:rPr>
          <w:rFonts w:ascii="仿宋" w:hAnsi="仿宋" w:eastAsia="仿宋" w:cs="仿宋"/>
          <w:highlight w:val="none"/>
        </w:rPr>
      </w:pPr>
      <w:r>
        <w:rPr>
          <w:rFonts w:hint="eastAsia" w:ascii="仿宋" w:hAnsi="仿宋" w:eastAsia="仿宋" w:cs="仿宋"/>
          <w:highlight w:val="none"/>
        </w:rPr>
        <w:t>（一）甲方责任</w:t>
      </w:r>
    </w:p>
    <w:p>
      <w:pPr>
        <w:pStyle w:val="35"/>
        <w:rPr>
          <w:rFonts w:ascii="仿宋" w:hAnsi="仿宋" w:eastAsia="仿宋" w:cs="仿宋"/>
          <w:highlight w:val="none"/>
        </w:rPr>
      </w:pPr>
      <w:r>
        <w:rPr>
          <w:rFonts w:hint="eastAsia" w:ascii="仿宋" w:hAnsi="仿宋" w:eastAsia="仿宋" w:cs="仿宋"/>
          <w:highlight w:val="none"/>
        </w:rPr>
        <w:t>1.提供技术资料：</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2.提供工作条件：</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3.其他：</w:t>
      </w:r>
      <w:r>
        <w:rPr>
          <w:rFonts w:hint="eastAsia" w:ascii="仿宋" w:hAnsi="仿宋" w:eastAsia="仿宋" w:cs="仿宋"/>
          <w:highlight w:val="none"/>
          <w:u w:val="single"/>
        </w:rPr>
        <w:t>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4.提供上述工作条件和协作事项的时间及方式：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（二）乙方责任</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1.按照合同要求按时完成相应技术服务工作。                  </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2.在本项目实施过程中，对甲方业务方面涉及的商业机密，乙方负有保密责任。</w:t>
      </w:r>
    </w:p>
    <w:p>
      <w:pPr>
        <w:jc w:val="left"/>
        <w:rPr>
          <w:rFonts w:ascii="仿宋" w:hAnsi="仿宋" w:eastAsia="仿宋" w:cs="仿宋"/>
          <w:sz w:val="24"/>
          <w:szCs w:val="24"/>
          <w:highlight w:val="none"/>
        </w:rPr>
      </w:pPr>
      <w:r>
        <w:rPr>
          <w:rFonts w:hint="eastAsia" w:ascii="仿宋" w:hAnsi="仿宋" w:eastAsia="仿宋" w:cs="仿宋"/>
          <w:sz w:val="24"/>
          <w:szCs w:val="24"/>
          <w:highlight w:val="none"/>
        </w:rPr>
        <w:t>3.在合同有效期内，乙方应当持续跟踪甲方使用情况，提供免费专业咨询服务，确保提供的技术服务正常运行。</w:t>
      </w:r>
    </w:p>
    <w:p>
      <w:pPr>
        <w:pStyle w:val="35"/>
        <w:rPr>
          <w:rFonts w:ascii="仿宋" w:hAnsi="仿宋" w:eastAsia="仿宋" w:cs="仿宋"/>
          <w:highlight w:val="none"/>
        </w:rPr>
      </w:pPr>
      <w:r>
        <w:rPr>
          <w:rFonts w:hint="eastAsia" w:ascii="仿宋" w:hAnsi="仿宋" w:eastAsia="仿宋" w:cs="仿宋"/>
          <w:highlight w:val="none"/>
        </w:rPr>
        <w:t>4.其他：</w:t>
      </w:r>
      <w:r>
        <w:rPr>
          <w:rFonts w:hint="eastAsia" w:ascii="仿宋" w:hAnsi="仿宋" w:eastAsia="仿宋" w:cs="仿宋"/>
          <w:highlight w:val="none"/>
          <w:u w:val="single"/>
        </w:rPr>
        <w:t>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5.提供上述工作条件和协作事项的时间及方式：</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b/>
          <w:highlight w:val="none"/>
        </w:rPr>
      </w:pPr>
      <w:r>
        <w:rPr>
          <w:rFonts w:hint="eastAsia" w:ascii="仿宋" w:hAnsi="仿宋" w:eastAsia="仿宋" w:cs="仿宋"/>
          <w:b/>
          <w:highlight w:val="none"/>
        </w:rPr>
        <w:t>五、合同变更</w:t>
      </w:r>
    </w:p>
    <w:p>
      <w:pPr>
        <w:pStyle w:val="35"/>
        <w:spacing w:before="0" w:beforeAutospacing="0" w:after="0" w:afterAutospacing="0" w:line="360" w:lineRule="atLeast"/>
        <w:ind w:firstLine="480" w:firstLineChars="200"/>
        <w:rPr>
          <w:highlight w:val="none"/>
        </w:rPr>
      </w:pPr>
      <w:r>
        <w:rPr>
          <w:rFonts w:hint="eastAsia" w:ascii="仿宋" w:hAnsi="仿宋" w:eastAsia="仿宋" w:cs="仿宋"/>
          <w:highlight w:val="none"/>
        </w:rPr>
        <w:t>本合同的变更必须由双方协商一致，并以书面形式确定。一方可以向另一方提出变更合同权利与义务的请求，另一方应当在</w:t>
      </w:r>
      <w:r>
        <w:rPr>
          <w:rFonts w:hint="eastAsia" w:ascii="仿宋" w:hAnsi="仿宋" w:eastAsia="仿宋" w:cs="仿宋"/>
          <w:highlight w:val="none"/>
          <w:u w:val="single"/>
        </w:rPr>
        <w:t>      </w:t>
      </w:r>
      <w:r>
        <w:rPr>
          <w:rFonts w:hint="eastAsia" w:ascii="仿宋" w:hAnsi="仿宋" w:eastAsia="仿宋" w:cs="仿宋"/>
          <w:highlight w:val="none"/>
        </w:rPr>
        <w:t>日内予以答复；逾期未予答复的，视为同意。</w:t>
      </w:r>
    </w:p>
    <w:p>
      <w:pPr>
        <w:pStyle w:val="35"/>
        <w:rPr>
          <w:rFonts w:ascii="仿宋" w:hAnsi="仿宋" w:eastAsia="仿宋" w:cs="仿宋"/>
          <w:b/>
          <w:highlight w:val="none"/>
        </w:rPr>
      </w:pPr>
      <w:r>
        <w:rPr>
          <w:rFonts w:hint="eastAsia" w:ascii="仿宋" w:hAnsi="仿宋" w:eastAsia="仿宋" w:cs="仿宋"/>
          <w:b/>
          <w:highlight w:val="none"/>
        </w:rPr>
        <w:t>六、技术服务验收</w:t>
      </w:r>
    </w:p>
    <w:p>
      <w:pPr>
        <w:pStyle w:val="35"/>
        <w:rPr>
          <w:rFonts w:ascii="仿宋" w:hAnsi="仿宋" w:eastAsia="仿宋" w:cs="仿宋"/>
          <w:highlight w:val="none"/>
        </w:rPr>
      </w:pPr>
      <w:r>
        <w:rPr>
          <w:rFonts w:hint="eastAsia" w:ascii="仿宋" w:hAnsi="仿宋" w:eastAsia="仿宋" w:cs="仿宋"/>
          <w:highlight w:val="none"/>
        </w:rPr>
        <w:t>（一）验收时间：</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（二）验收地点：</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（三）验收标准：</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highlight w:val="none"/>
        </w:rPr>
      </w:pPr>
      <w:r>
        <w:rPr>
          <w:rFonts w:hint="eastAsia" w:ascii="仿宋" w:hAnsi="仿宋" w:eastAsia="仿宋" w:cs="仿宋"/>
          <w:highlight w:val="none"/>
        </w:rPr>
        <w:t>（四）验收方法：</w:t>
      </w:r>
      <w:r>
        <w:rPr>
          <w:rFonts w:hint="eastAsia" w:ascii="仿宋" w:hAnsi="仿宋" w:eastAsia="仿宋" w:cs="仿宋"/>
          <w:highlight w:val="none"/>
          <w:u w:val="single"/>
        </w:rPr>
        <w:t xml:space="preserve">            </w:t>
      </w:r>
      <w:r>
        <w:rPr>
          <w:rFonts w:hint="eastAsia" w:ascii="仿宋" w:hAnsi="仿宋" w:eastAsia="仿宋" w:cs="仿宋"/>
          <w:highlight w:val="none"/>
        </w:rPr>
        <w:t>。       </w:t>
      </w:r>
    </w:p>
    <w:p>
      <w:pPr>
        <w:pStyle w:val="35"/>
        <w:rPr>
          <w:rFonts w:ascii="仿宋" w:hAnsi="仿宋" w:eastAsia="仿宋" w:cs="仿宋"/>
          <w:b/>
          <w:highlight w:val="none"/>
        </w:rPr>
      </w:pPr>
      <w:r>
        <w:rPr>
          <w:rFonts w:hint="eastAsia" w:ascii="仿宋" w:hAnsi="仿宋" w:eastAsia="仿宋" w:cs="仿宋"/>
          <w:b/>
          <w:highlight w:val="none"/>
        </w:rPr>
        <w:t>七、 知识产权归属</w:t>
      </w:r>
    </w:p>
    <w:p>
      <w:pPr>
        <w:pStyle w:val="35"/>
        <w:rPr>
          <w:rFonts w:ascii="仿宋" w:hAnsi="仿宋" w:eastAsia="仿宋" w:cs="仿宋"/>
          <w:highlight w:val="none"/>
        </w:rPr>
      </w:pPr>
      <w:r>
        <w:rPr>
          <w:rFonts w:hint="eastAsia" w:ascii="仿宋" w:hAnsi="仿宋" w:eastAsia="仿宋" w:cs="仿宋"/>
          <w:highlight w:val="none"/>
        </w:rPr>
        <w:t>（一）在本合同履行期内甲方利用乙方提交的技术服务工作成果所完成</w:t>
      </w:r>
    </w:p>
    <w:p>
      <w:pPr>
        <w:pStyle w:val="35"/>
        <w:rPr>
          <w:rFonts w:ascii="仿宋" w:hAnsi="仿宋" w:eastAsia="仿宋" w:cs="仿宋"/>
          <w:highlight w:val="none"/>
        </w:rPr>
      </w:pPr>
      <w:r>
        <w:rPr>
          <w:rFonts w:hint="eastAsia" w:ascii="仿宋" w:hAnsi="仿宋" w:eastAsia="仿宋" w:cs="仿宋"/>
          <w:highlight w:val="none"/>
        </w:rPr>
        <w:t>的新的技术成果，归</w:t>
      </w:r>
      <w:r>
        <w:rPr>
          <w:rFonts w:hint="eastAsia" w:ascii="仿宋" w:hAnsi="仿宋" w:eastAsia="仿宋" w:cs="仿宋"/>
          <w:highlight w:val="none"/>
          <w:u w:val="single"/>
        </w:rPr>
        <w:t xml:space="preserve">      </w:t>
      </w:r>
      <w:r>
        <w:rPr>
          <w:rFonts w:hint="eastAsia" w:ascii="仿宋" w:hAnsi="仿宋" w:eastAsia="仿宋" w:cs="仿宋"/>
          <w:highlight w:val="none"/>
        </w:rPr>
        <w:t>（甲 、乙、双 ）方所有。</w:t>
      </w:r>
    </w:p>
    <w:p>
      <w:pPr>
        <w:pStyle w:val="35"/>
        <w:numPr>
          <w:ilvl w:val="0"/>
          <w:numId w:val="3"/>
        </w:numPr>
        <w:rPr>
          <w:rFonts w:ascii="仿宋" w:hAnsi="仿宋" w:eastAsia="仿宋" w:cs="仿宋"/>
          <w:highlight w:val="none"/>
        </w:rPr>
      </w:pPr>
      <w:r>
        <w:rPr>
          <w:rFonts w:hint="eastAsia" w:ascii="仿宋" w:hAnsi="仿宋" w:eastAsia="仿宋" w:cs="仿宋"/>
          <w:highlight w:val="none"/>
        </w:rPr>
        <w:t>在本合同履行期内乙方利用甲方提供的技术资料和工作条件所完成的新的技术成果，归</w:t>
      </w:r>
      <w:r>
        <w:rPr>
          <w:rFonts w:hint="eastAsia" w:ascii="仿宋" w:hAnsi="仿宋" w:eastAsia="仿宋" w:cs="仿宋"/>
          <w:highlight w:val="none"/>
          <w:u w:val="single"/>
        </w:rPr>
        <w:t xml:space="preserve">      </w:t>
      </w:r>
      <w:r>
        <w:rPr>
          <w:rFonts w:hint="eastAsia" w:ascii="仿宋" w:hAnsi="仿宋" w:eastAsia="仿宋" w:cs="仿宋"/>
          <w:highlight w:val="none"/>
        </w:rPr>
        <w:t>（甲、乙、双）方所有。  </w:t>
      </w:r>
    </w:p>
    <w:p>
      <w:pPr>
        <w:pStyle w:val="35"/>
        <w:rPr>
          <w:rFonts w:ascii="仿宋" w:hAnsi="仿宋" w:eastAsia="仿宋" w:cs="仿宋"/>
          <w:b/>
          <w:highlight w:val="none"/>
        </w:rPr>
      </w:pPr>
      <w:r>
        <w:rPr>
          <w:rFonts w:hint="eastAsia" w:ascii="仿宋" w:hAnsi="仿宋" w:eastAsia="仿宋" w:cs="仿宋"/>
          <w:b/>
          <w:highlight w:val="none"/>
        </w:rPr>
        <w:t>八、项目联系人</w:t>
      </w:r>
    </w:p>
    <w:p>
      <w:pPr>
        <w:pStyle w:val="35"/>
        <w:ind w:firstLine="480" w:firstLineChars="200"/>
        <w:rPr>
          <w:rFonts w:ascii="仿宋" w:hAnsi="仿宋" w:eastAsia="仿宋" w:cs="仿宋"/>
          <w:highlight w:val="none"/>
        </w:rPr>
      </w:pPr>
      <w:r>
        <w:rPr>
          <w:rFonts w:hint="eastAsia" w:ascii="仿宋" w:hAnsi="仿宋" w:eastAsia="仿宋" w:cs="仿宋"/>
          <w:highlight w:val="none"/>
        </w:rPr>
        <w:t>在本合同有效期内，甲方指定</w:t>
      </w:r>
      <w:r>
        <w:rPr>
          <w:rFonts w:hint="eastAsia" w:ascii="仿宋" w:hAnsi="仿宋" w:eastAsia="仿宋" w:cs="仿宋"/>
          <w:highlight w:val="none"/>
          <w:u w:val="single"/>
        </w:rPr>
        <w:t xml:space="preserve">     </w:t>
      </w:r>
      <w:r>
        <w:rPr>
          <w:rFonts w:hint="eastAsia" w:ascii="仿宋" w:hAnsi="仿宋" w:eastAsia="仿宋" w:cs="仿宋"/>
          <w:highlight w:val="none"/>
        </w:rPr>
        <w:t>为甲方项目联系人，乙方指定</w:t>
      </w:r>
      <w:r>
        <w:rPr>
          <w:rFonts w:hint="eastAsia" w:ascii="仿宋" w:hAnsi="仿宋" w:eastAsia="仿宋" w:cs="仿宋"/>
          <w:highlight w:val="none"/>
          <w:u w:val="single"/>
        </w:rPr>
        <w:t xml:space="preserve">         </w:t>
      </w:r>
      <w:r>
        <w:rPr>
          <w:rFonts w:hint="eastAsia" w:ascii="仿宋" w:hAnsi="仿宋" w:eastAsia="仿宋" w:cs="仿宋"/>
          <w:highlight w:val="none"/>
        </w:rPr>
        <w:t>为乙方项目联系人。一方变更项目联系人的，应当及时以书面形式通知另一方。未及时通知并影响本合同履行或造成损失的，应承担相应的责任。</w:t>
      </w:r>
    </w:p>
    <w:p>
      <w:pPr>
        <w:pStyle w:val="35"/>
        <w:rPr>
          <w:rFonts w:ascii="仿宋" w:hAnsi="仿宋" w:eastAsia="仿宋" w:cs="仿宋"/>
          <w:b/>
          <w:highlight w:val="none"/>
        </w:rPr>
      </w:pPr>
      <w:r>
        <w:rPr>
          <w:rFonts w:hint="eastAsia" w:ascii="仿宋" w:hAnsi="仿宋" w:eastAsia="仿宋" w:cs="仿宋"/>
          <w:b/>
          <w:highlight w:val="none"/>
        </w:rPr>
        <w:t>九、报酬与付款方式</w:t>
      </w:r>
    </w:p>
    <w:p>
      <w:pPr>
        <w:pStyle w:val="35"/>
        <w:rPr>
          <w:rFonts w:ascii="仿宋" w:hAnsi="仿宋" w:eastAsia="仿宋" w:cs="仿宋"/>
          <w:bCs/>
          <w:highlight w:val="none"/>
        </w:rPr>
      </w:pPr>
      <w:r>
        <w:rPr>
          <w:rFonts w:hint="eastAsia" w:ascii="仿宋" w:hAnsi="仿宋" w:eastAsia="仿宋" w:cs="仿宋"/>
          <w:highlight w:val="none"/>
        </w:rPr>
        <w:t>（一）</w:t>
      </w:r>
      <w:r>
        <w:rPr>
          <w:rFonts w:hint="eastAsia" w:ascii="仿宋" w:hAnsi="仿宋" w:eastAsia="仿宋" w:cs="仿宋"/>
          <w:bCs/>
          <w:highlight w:val="none"/>
        </w:rPr>
        <w:t>技术服务费用</w:t>
      </w:r>
    </w:p>
    <w:p>
      <w:pPr>
        <w:pStyle w:val="35"/>
        <w:rPr>
          <w:rFonts w:ascii="仿宋" w:hAnsi="仿宋" w:eastAsia="仿宋" w:cs="仿宋"/>
          <w:highlight w:val="none"/>
        </w:rPr>
      </w:pPr>
      <w:r>
        <w:rPr>
          <w:rFonts w:hint="eastAsia" w:ascii="仿宋" w:hAnsi="仿宋" w:eastAsia="仿宋" w:cs="仿宋"/>
          <w:highlight w:val="none"/>
        </w:rPr>
        <w:t>1. 本项目技术服务费总价为（已含税）¥</w:t>
      </w:r>
      <w:r>
        <w:rPr>
          <w:rFonts w:hint="eastAsia" w:ascii="仿宋" w:hAnsi="仿宋" w:eastAsia="仿宋" w:cs="仿宋"/>
          <w:highlight w:val="none"/>
          <w:u w:val="single"/>
        </w:rPr>
        <w:t xml:space="preserve">       </w:t>
      </w:r>
      <w:r>
        <w:rPr>
          <w:rFonts w:hint="eastAsia" w:ascii="仿宋" w:hAnsi="仿宋" w:eastAsia="仿宋" w:cs="仿宋"/>
          <w:highlight w:val="none"/>
        </w:rPr>
        <w:t>（大写：</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35"/>
        <w:rPr>
          <w:rFonts w:ascii="仿宋" w:hAnsi="仿宋" w:eastAsia="仿宋" w:cs="仿宋"/>
          <w:highlight w:val="none"/>
        </w:rPr>
      </w:pPr>
      <w:r>
        <w:rPr>
          <w:rFonts w:hint="eastAsia" w:ascii="仿宋" w:hAnsi="仿宋" w:eastAsia="仿宋" w:cs="仿宋"/>
          <w:highlight w:val="none"/>
        </w:rPr>
        <w:t>2. 本合同为固定价格合同，在合同履行期间，市场价格波动对技术开发、服务咨询等成本的影响不予以考虑。</w:t>
      </w:r>
    </w:p>
    <w:p>
      <w:pPr>
        <w:pStyle w:val="35"/>
        <w:rPr>
          <w:rFonts w:ascii="仿宋" w:hAnsi="仿宋" w:eastAsia="仿宋" w:cs="仿宋"/>
          <w:highlight w:val="none"/>
        </w:rPr>
      </w:pPr>
      <w:r>
        <w:rPr>
          <w:rFonts w:hint="eastAsia" w:ascii="仿宋" w:hAnsi="仿宋" w:eastAsia="仿宋" w:cs="仿宋"/>
          <w:highlight w:val="none"/>
        </w:rPr>
        <w:t>3.甲方付款前，乙方应向甲方提供符合其要求的增值税专用发票；否则，甲方有权逾期付款且不承担任何责任。</w:t>
      </w:r>
    </w:p>
    <w:p>
      <w:pPr>
        <w:pStyle w:val="35"/>
        <w:rPr>
          <w:rFonts w:ascii="仿宋" w:hAnsi="仿宋" w:eastAsia="仿宋" w:cs="仿宋"/>
          <w:highlight w:val="none"/>
        </w:rPr>
      </w:pPr>
      <w:r>
        <w:rPr>
          <w:rFonts w:hint="eastAsia" w:ascii="仿宋" w:hAnsi="仿宋" w:eastAsia="仿宋" w:cs="仿宋"/>
          <w:highlight w:val="none"/>
        </w:rPr>
        <w:t>（二）付款时间与方式</w:t>
      </w:r>
    </w:p>
    <w:p>
      <w:pPr>
        <w:pStyle w:val="12"/>
        <w:ind w:firstLineChars="0"/>
        <w:rPr>
          <w:rFonts w:ascii="仿宋" w:hAnsi="仿宋" w:eastAsia="仿宋" w:cs="仿宋"/>
          <w:sz w:val="24"/>
          <w:highlight w:val="yellow"/>
        </w:rPr>
      </w:pPr>
      <w:r>
        <w:rPr>
          <w:rFonts w:ascii="仿宋" w:hAnsi="仿宋" w:eastAsia="仿宋" w:cs="仿宋"/>
          <w:sz w:val="24"/>
          <w:highlight w:val="yellow"/>
        </w:rPr>
        <w:t xml:space="preserve">1. </w:t>
      </w:r>
      <w:r>
        <w:rPr>
          <w:rFonts w:hint="eastAsia" w:ascii="仿宋" w:hAnsi="仿宋" w:eastAsia="仿宋" w:cs="仿宋"/>
          <w:sz w:val="24"/>
          <w:highlight w:val="yellow"/>
        </w:rPr>
        <w:t>付款方式及时间：【合同签订后甲方在</w:t>
      </w:r>
      <w:r>
        <w:rPr>
          <w:rFonts w:ascii="仿宋" w:hAnsi="仿宋" w:eastAsia="仿宋" w:cs="仿宋"/>
          <w:sz w:val="24"/>
          <w:highlight w:val="yellow"/>
        </w:rPr>
        <w:t>10个工作日内支付合同金额的</w:t>
      </w:r>
      <w:r>
        <w:rPr>
          <w:rFonts w:hint="eastAsia" w:ascii="仿宋" w:hAnsi="仿宋" w:eastAsia="仿宋" w:cs="仿宋"/>
          <w:sz w:val="24"/>
          <w:highlight w:val="yellow"/>
          <w:lang w:val="en-US" w:eastAsia="zh-CN"/>
        </w:rPr>
        <w:t>4</w:t>
      </w:r>
      <w:r>
        <w:rPr>
          <w:rFonts w:ascii="仿宋" w:hAnsi="仿宋" w:eastAsia="仿宋" w:cs="仿宋"/>
          <w:sz w:val="24"/>
          <w:highlight w:val="yellow"/>
        </w:rPr>
        <w:t>0%；</w:t>
      </w:r>
      <w:r>
        <w:rPr>
          <w:rFonts w:hint="eastAsia" w:ascii="仿宋" w:hAnsi="仿宋" w:eastAsia="仿宋" w:cs="仿宋"/>
          <w:sz w:val="24"/>
          <w:highlight w:val="yellow"/>
        </w:rPr>
        <w:t>乙方提交中间成果报告，并完成详细设计阶段工作后，经甲方认可后，支付合同金额的</w:t>
      </w:r>
      <w:r>
        <w:rPr>
          <w:rFonts w:ascii="仿宋" w:hAnsi="仿宋" w:eastAsia="仿宋" w:cs="仿宋"/>
          <w:sz w:val="24"/>
          <w:highlight w:val="yellow"/>
        </w:rPr>
        <w:t>40%进度款；项目验收合格后</w:t>
      </w:r>
      <w:r>
        <w:rPr>
          <w:rFonts w:hint="eastAsia" w:ascii="仿宋" w:hAnsi="仿宋" w:eastAsia="仿宋" w:cs="仿宋"/>
          <w:sz w:val="24"/>
          <w:highlight w:val="yellow"/>
        </w:rPr>
        <w:t>，乙方提交所有研究成果资料，经甲方认可后，支付合同金额的</w:t>
      </w:r>
      <w:r>
        <w:rPr>
          <w:rFonts w:hint="eastAsia" w:ascii="仿宋" w:hAnsi="仿宋" w:eastAsia="仿宋" w:cs="仿宋"/>
          <w:sz w:val="24"/>
          <w:highlight w:val="yellow"/>
          <w:lang w:val="en-US" w:eastAsia="zh-CN"/>
        </w:rPr>
        <w:t>2</w:t>
      </w:r>
      <w:r>
        <w:rPr>
          <w:rFonts w:ascii="仿宋" w:hAnsi="仿宋" w:eastAsia="仿宋" w:cs="仿宋"/>
          <w:sz w:val="24"/>
          <w:highlight w:val="yellow"/>
        </w:rPr>
        <w:t>0%验收款</w:t>
      </w:r>
      <w:r>
        <w:rPr>
          <w:rFonts w:hint="eastAsia" w:ascii="仿宋" w:hAnsi="仿宋" w:eastAsia="仿宋" w:cs="仿宋"/>
          <w:sz w:val="24"/>
          <w:highlight w:val="yellow"/>
        </w:rPr>
        <w:t>；每次支付前乙方需提供增值税专用发票。】</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 支付方式：甲方支付方式为转账或银行汇票。</w:t>
      </w:r>
    </w:p>
    <w:p>
      <w:pPr>
        <w:pStyle w:val="35"/>
        <w:rPr>
          <w:rFonts w:ascii="仿宋" w:hAnsi="仿宋" w:eastAsia="仿宋" w:cs="仿宋"/>
          <w:highlight w:val="none"/>
        </w:rPr>
      </w:pPr>
      <w:r>
        <w:rPr>
          <w:rFonts w:hint="eastAsia" w:ascii="仿宋" w:hAnsi="仿宋" w:eastAsia="仿宋" w:cs="仿宋"/>
          <w:highlight w:val="none"/>
        </w:rPr>
        <w:t>（三）开票信息</w:t>
      </w:r>
    </w:p>
    <w:p>
      <w:pPr>
        <w:pStyle w:val="35"/>
        <w:rPr>
          <w:rFonts w:ascii="仿宋" w:hAnsi="仿宋" w:eastAsia="仿宋" w:cs="仿宋"/>
          <w:highlight w:val="none"/>
        </w:rPr>
      </w:pPr>
      <w:r>
        <w:rPr>
          <w:rFonts w:hint="eastAsia" w:ascii="仿宋" w:hAnsi="仿宋" w:eastAsia="仿宋" w:cs="仿宋"/>
          <w:highlight w:val="none"/>
        </w:rPr>
        <w:t>单位名称：</w:t>
      </w:r>
    </w:p>
    <w:p>
      <w:pPr>
        <w:pStyle w:val="35"/>
        <w:rPr>
          <w:rFonts w:ascii="仿宋" w:hAnsi="仿宋" w:eastAsia="仿宋" w:cs="仿宋"/>
          <w:highlight w:val="none"/>
        </w:rPr>
      </w:pPr>
      <w:r>
        <w:rPr>
          <w:rFonts w:hint="eastAsia" w:ascii="仿宋" w:hAnsi="仿宋" w:eastAsia="仿宋" w:cs="仿宋"/>
          <w:highlight w:val="none"/>
        </w:rPr>
        <w:t>纳税登记号：</w:t>
      </w:r>
    </w:p>
    <w:p>
      <w:pPr>
        <w:pStyle w:val="35"/>
        <w:ind w:left="1200" w:hanging="1200" w:hangingChars="500"/>
        <w:rPr>
          <w:rFonts w:ascii="仿宋" w:hAnsi="仿宋" w:eastAsia="仿宋" w:cs="仿宋"/>
          <w:highlight w:val="none"/>
        </w:rPr>
      </w:pPr>
      <w:r>
        <w:rPr>
          <w:rFonts w:hint="eastAsia" w:ascii="仿宋" w:hAnsi="仿宋" w:eastAsia="仿宋" w:cs="仿宋"/>
          <w:highlight w:val="none"/>
        </w:rPr>
        <w:t>营业地址：</w:t>
      </w:r>
    </w:p>
    <w:p>
      <w:pPr>
        <w:pStyle w:val="35"/>
        <w:rPr>
          <w:rFonts w:ascii="仿宋" w:hAnsi="仿宋" w:eastAsia="仿宋" w:cs="仿宋"/>
          <w:highlight w:val="none"/>
        </w:rPr>
      </w:pPr>
      <w:r>
        <w:rPr>
          <w:rFonts w:hint="eastAsia" w:ascii="仿宋" w:hAnsi="仿宋" w:eastAsia="仿宋" w:cs="仿宋"/>
          <w:highlight w:val="none"/>
        </w:rPr>
        <w:t>电话号码：</w:t>
      </w:r>
    </w:p>
    <w:p>
      <w:pPr>
        <w:pStyle w:val="35"/>
        <w:rPr>
          <w:rFonts w:ascii="仿宋" w:hAnsi="仿宋" w:eastAsia="仿宋" w:cs="仿宋"/>
          <w:highlight w:val="none"/>
        </w:rPr>
      </w:pPr>
      <w:r>
        <w:rPr>
          <w:rFonts w:hint="eastAsia" w:ascii="仿宋" w:hAnsi="仿宋" w:eastAsia="仿宋" w:cs="仿宋"/>
          <w:highlight w:val="none"/>
        </w:rPr>
        <w:t>开户银行：</w:t>
      </w:r>
    </w:p>
    <w:p>
      <w:pPr>
        <w:pStyle w:val="35"/>
        <w:rPr>
          <w:rFonts w:ascii="仿宋" w:hAnsi="仿宋" w:eastAsia="仿宋" w:cs="仿宋"/>
          <w:highlight w:val="none"/>
        </w:rPr>
      </w:pPr>
      <w:r>
        <w:rPr>
          <w:rFonts w:hint="eastAsia" w:ascii="仿宋" w:hAnsi="仿宋" w:eastAsia="仿宋" w:cs="仿宋"/>
          <w:highlight w:val="none"/>
        </w:rPr>
        <w:t>银行账号：</w:t>
      </w:r>
    </w:p>
    <w:p>
      <w:pPr>
        <w:pStyle w:val="35"/>
        <w:rPr>
          <w:rFonts w:ascii="仿宋" w:hAnsi="仿宋" w:eastAsia="仿宋" w:cs="仿宋"/>
          <w:highlight w:val="none"/>
        </w:rPr>
      </w:pPr>
      <w:r>
        <w:rPr>
          <w:rFonts w:hint="eastAsia" w:ascii="仿宋" w:hAnsi="仿宋" w:eastAsia="仿宋" w:cs="仿宋"/>
          <w:highlight w:val="none"/>
        </w:rPr>
        <w:t>（四）付款信息</w:t>
      </w:r>
    </w:p>
    <w:p>
      <w:pPr>
        <w:pStyle w:val="35"/>
        <w:rPr>
          <w:rFonts w:ascii="仿宋" w:hAnsi="仿宋" w:eastAsia="仿宋" w:cs="仿宋"/>
          <w:highlight w:val="none"/>
        </w:rPr>
      </w:pPr>
      <w:r>
        <w:rPr>
          <w:rFonts w:hint="eastAsia" w:ascii="仿宋" w:hAnsi="仿宋" w:eastAsia="仿宋" w:cs="仿宋"/>
          <w:highlight w:val="none"/>
        </w:rPr>
        <w:t>单位名称：</w:t>
      </w:r>
    </w:p>
    <w:p>
      <w:pPr>
        <w:pStyle w:val="35"/>
        <w:rPr>
          <w:rFonts w:ascii="仿宋" w:hAnsi="仿宋" w:eastAsia="仿宋" w:cs="仿宋"/>
          <w:highlight w:val="none"/>
        </w:rPr>
      </w:pPr>
      <w:r>
        <w:rPr>
          <w:rFonts w:hint="eastAsia" w:ascii="仿宋" w:hAnsi="仿宋" w:eastAsia="仿宋" w:cs="仿宋"/>
          <w:highlight w:val="none"/>
        </w:rPr>
        <w:t>开户银行：</w:t>
      </w:r>
    </w:p>
    <w:p>
      <w:pPr>
        <w:pStyle w:val="35"/>
        <w:rPr>
          <w:rFonts w:ascii="仿宋" w:hAnsi="仿宋" w:eastAsia="仿宋" w:cs="仿宋"/>
          <w:highlight w:val="none"/>
        </w:rPr>
      </w:pPr>
      <w:r>
        <w:rPr>
          <w:rFonts w:hint="eastAsia" w:ascii="仿宋" w:hAnsi="仿宋" w:eastAsia="仿宋" w:cs="仿宋"/>
          <w:highlight w:val="none"/>
        </w:rPr>
        <w:t>银行账号：</w:t>
      </w:r>
    </w:p>
    <w:p>
      <w:pPr>
        <w:pStyle w:val="35"/>
        <w:rPr>
          <w:rFonts w:ascii="仿宋" w:hAnsi="仿宋" w:eastAsia="仿宋" w:cs="仿宋"/>
          <w:highlight w:val="none"/>
        </w:rPr>
      </w:pPr>
      <w:r>
        <w:rPr>
          <w:rFonts w:hint="eastAsia" w:ascii="仿宋" w:hAnsi="仿宋" w:eastAsia="仿宋" w:cs="仿宋"/>
          <w:highlight w:val="none"/>
        </w:rPr>
        <w:t>（五）付款信息的更改</w:t>
      </w:r>
    </w:p>
    <w:p>
      <w:pPr>
        <w:pStyle w:val="35"/>
        <w:ind w:firstLine="480" w:firstLineChars="200"/>
        <w:rPr>
          <w:rFonts w:ascii="仿宋" w:hAnsi="仿宋" w:eastAsia="仿宋" w:cs="仿宋"/>
          <w:highlight w:val="none"/>
        </w:rPr>
      </w:pPr>
      <w:r>
        <w:rPr>
          <w:rFonts w:hint="eastAsia" w:ascii="仿宋" w:hAnsi="仿宋" w:eastAsia="仿宋" w:cs="仿宋"/>
          <w:highlight w:val="none"/>
        </w:rPr>
        <w:t>乙方（付款信息）的单位名称、开户银行、银行账号以本合同提供的为准。</w:t>
      </w:r>
    </w:p>
    <w:p>
      <w:pPr>
        <w:pStyle w:val="35"/>
        <w:ind w:firstLine="480" w:firstLineChars="200"/>
        <w:rPr>
          <w:rFonts w:ascii="仿宋" w:hAnsi="仿宋" w:eastAsia="仿宋" w:cs="仿宋"/>
          <w:highlight w:val="none"/>
        </w:rPr>
      </w:pPr>
      <w:r>
        <w:rPr>
          <w:rFonts w:hint="eastAsia" w:ascii="仿宋" w:hAnsi="仿宋" w:eastAsia="仿宋" w:cs="仿宋"/>
          <w:highlight w:val="none"/>
        </w:rPr>
        <w:t>如有变更，乙方应在合同规定的相关付款期限10天前以书面方式通知甲方并加盖财务专用章。如未正确依照上述规定执行而影响相关款项的支付，由此产生的责任由乙方自负。</w:t>
      </w:r>
    </w:p>
    <w:p>
      <w:pPr>
        <w:pStyle w:val="35"/>
        <w:rPr>
          <w:rFonts w:ascii="仿宋" w:hAnsi="仿宋" w:eastAsia="仿宋" w:cs="仿宋"/>
          <w:highlight w:val="none"/>
        </w:rPr>
      </w:pPr>
      <w:r>
        <w:rPr>
          <w:rFonts w:hint="eastAsia" w:ascii="仿宋" w:hAnsi="仿宋" w:eastAsia="仿宋" w:cs="仿宋"/>
          <w:b/>
          <w:highlight w:val="none"/>
        </w:rPr>
        <w:t xml:space="preserve">十、违约与处罚      </w:t>
      </w:r>
    </w:p>
    <w:p>
      <w:pPr>
        <w:pStyle w:val="35"/>
        <w:rPr>
          <w:rFonts w:ascii="仿宋" w:hAnsi="仿宋" w:eastAsia="仿宋" w:cs="仿宋"/>
          <w:highlight w:val="none"/>
        </w:rPr>
      </w:pPr>
      <w:r>
        <w:rPr>
          <w:rFonts w:hint="eastAsia" w:ascii="仿宋" w:hAnsi="仿宋" w:eastAsia="仿宋" w:cs="仿宋"/>
          <w:highlight w:val="none"/>
        </w:rPr>
        <w:t>（一）甲方应依合同规定时间内，向乙方支付技术服务费，每延期一天，乙方可向甲方加收欠付金额的1‰的违约金。</w:t>
      </w:r>
    </w:p>
    <w:p>
      <w:pPr>
        <w:pStyle w:val="35"/>
        <w:rPr>
          <w:rFonts w:ascii="仿宋" w:hAnsi="仿宋" w:eastAsia="仿宋" w:cs="仿宋"/>
          <w:highlight w:val="none"/>
        </w:rPr>
      </w:pPr>
      <w:r>
        <w:rPr>
          <w:rFonts w:hint="eastAsia" w:ascii="仿宋" w:hAnsi="仿宋" w:eastAsia="仿宋" w:cs="仿宋"/>
          <w:highlight w:val="none"/>
        </w:rPr>
        <w:t>（二）乙方自约定开展工作之日起 7 日内，不开展服务工作的，甲方有权解除合同，乙方应当返还已收的报酬，并有权要求乙方按合同总额10%支付违约金。</w:t>
      </w:r>
    </w:p>
    <w:p>
      <w:pPr>
        <w:pStyle w:val="35"/>
        <w:rPr>
          <w:rFonts w:ascii="仿宋" w:hAnsi="仿宋" w:eastAsia="仿宋" w:cs="仿宋"/>
          <w:highlight w:val="none"/>
        </w:rPr>
      </w:pPr>
      <w:r>
        <w:rPr>
          <w:rFonts w:hint="eastAsia" w:ascii="仿宋" w:hAnsi="仿宋" w:eastAsia="仿宋" w:cs="仿宋"/>
          <w:highlight w:val="none"/>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5"/>
        <w:rPr>
          <w:rFonts w:ascii="仿宋" w:hAnsi="仿宋" w:eastAsia="仿宋" w:cs="仿宋"/>
          <w:highlight w:val="none"/>
        </w:rPr>
      </w:pPr>
      <w:r>
        <w:rPr>
          <w:rFonts w:hint="eastAsia" w:ascii="仿宋" w:hAnsi="仿宋" w:eastAsia="仿宋" w:cs="仿宋"/>
          <w:highlight w:val="none"/>
        </w:rPr>
        <w:t>（四）乙方在合同约定的验收日期届满后20天仍旧延期的，甲方有权解除合同，且乙方应返还甲方所有已付款项且乙方须向甲方支付合同金额的30%的违约金，并承担甲方因此所受的损失费用。</w:t>
      </w:r>
    </w:p>
    <w:p>
      <w:pPr>
        <w:pStyle w:val="35"/>
        <w:rPr>
          <w:rFonts w:ascii="仿宋" w:hAnsi="仿宋" w:eastAsia="仿宋" w:cs="仿宋"/>
          <w:highlight w:val="none"/>
        </w:rPr>
      </w:pPr>
      <w:r>
        <w:rPr>
          <w:rFonts w:hint="eastAsia" w:ascii="仿宋" w:hAnsi="仿宋" w:eastAsia="仿宋" w:cs="仿宋"/>
          <w:highlight w:val="none"/>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5"/>
        <w:rPr>
          <w:highlight w:val="none"/>
        </w:rPr>
      </w:pPr>
      <w:r>
        <w:rPr>
          <w:rFonts w:hint="eastAsia" w:ascii="仿宋" w:hAnsi="仿宋" w:eastAsia="仿宋" w:cs="仿宋"/>
          <w:b/>
          <w:highlight w:val="none"/>
        </w:rPr>
        <w:t>十一、合同终止</w:t>
      </w:r>
    </w:p>
    <w:p>
      <w:pPr>
        <w:pStyle w:val="35"/>
        <w:ind w:firstLine="480" w:firstLineChars="200"/>
        <w:rPr>
          <w:rFonts w:ascii="仿宋" w:hAnsi="仿宋" w:eastAsia="仿宋" w:cs="仿宋"/>
          <w:highlight w:val="none"/>
        </w:rPr>
      </w:pPr>
      <w:r>
        <w:rPr>
          <w:rFonts w:hint="eastAsia" w:ascii="仿宋" w:hAnsi="仿宋" w:eastAsia="仿宋" w:cs="仿宋"/>
          <w:highlight w:val="none"/>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5"/>
        <w:rPr>
          <w:rFonts w:ascii="仿宋" w:hAnsi="仿宋" w:eastAsia="仿宋" w:cs="仿宋"/>
          <w:highlight w:val="none"/>
        </w:rPr>
      </w:pPr>
      <w:r>
        <w:rPr>
          <w:rFonts w:hint="eastAsia" w:ascii="仿宋" w:hAnsi="仿宋" w:eastAsia="仿宋" w:cs="仿宋"/>
          <w:b/>
          <w:highlight w:val="none"/>
        </w:rPr>
        <w:t>十二、争议解决</w:t>
      </w:r>
    </w:p>
    <w:p>
      <w:pPr>
        <w:pStyle w:val="35"/>
        <w:ind w:left="210" w:leftChars="100" w:firstLine="240" w:firstLineChars="100"/>
        <w:rPr>
          <w:rFonts w:ascii="仿宋" w:hAnsi="仿宋" w:eastAsia="仿宋" w:cs="仿宋"/>
          <w:highlight w:val="none"/>
        </w:rPr>
      </w:pPr>
      <w:r>
        <w:rPr>
          <w:rFonts w:hint="eastAsia" w:ascii="仿宋" w:hAnsi="仿宋" w:eastAsia="仿宋" w:cs="仿宋"/>
          <w:highlight w:val="none"/>
        </w:rPr>
        <w:t>因本合同引起的或与本合同有关的任何争议，由合同各方协商解决，也可由有关 调解。协商或调解不成的，应</w:t>
      </w:r>
      <w:r>
        <w:rPr>
          <w:rFonts w:hint="eastAsia" w:ascii="仿宋" w:hAnsi="仿宋" w:eastAsia="仿宋" w:cs="仿宋"/>
          <w:highlight w:val="none"/>
          <w:lang w:eastAsia="zh-Hans"/>
        </w:rPr>
        <w:t>向甲方所在地人民法院提起诉讼</w:t>
      </w:r>
      <w:r>
        <w:rPr>
          <w:rFonts w:ascii="仿宋" w:hAnsi="仿宋" w:eastAsia="仿宋" w:cs="仿宋"/>
          <w:highlight w:val="none"/>
          <w:lang w:eastAsia="zh-Hans"/>
        </w:rPr>
        <w:t>。</w:t>
      </w:r>
    </w:p>
    <w:p>
      <w:pPr>
        <w:pStyle w:val="35"/>
        <w:rPr>
          <w:rFonts w:ascii="仿宋" w:hAnsi="仿宋" w:eastAsia="仿宋" w:cs="仿宋"/>
          <w:highlight w:val="none"/>
        </w:rPr>
      </w:pPr>
      <w:r>
        <w:rPr>
          <w:rFonts w:hint="eastAsia" w:ascii="仿宋" w:hAnsi="仿宋" w:eastAsia="仿宋" w:cs="仿宋"/>
          <w:b/>
          <w:highlight w:val="none"/>
        </w:rPr>
        <w:t>十三、索赔</w:t>
      </w:r>
    </w:p>
    <w:p>
      <w:pPr>
        <w:pStyle w:val="35"/>
        <w:rPr>
          <w:rFonts w:ascii="仿宋" w:hAnsi="仿宋" w:eastAsia="仿宋" w:cs="仿宋"/>
          <w:highlight w:val="none"/>
        </w:rPr>
      </w:pPr>
      <w:r>
        <w:rPr>
          <w:rFonts w:hint="eastAsia" w:ascii="仿宋" w:hAnsi="仿宋" w:eastAsia="仿宋" w:cs="仿宋"/>
          <w:highlight w:val="none"/>
        </w:rPr>
        <w:t>（一）在合同履行期间，如果乙方对甲方提出的索赔和差异负有责任，乙方应按照甲方同意的方式解决索赔事宜。</w:t>
      </w:r>
    </w:p>
    <w:p>
      <w:pPr>
        <w:pStyle w:val="35"/>
        <w:rPr>
          <w:rFonts w:ascii="仿宋" w:hAnsi="仿宋" w:eastAsia="仿宋" w:cs="仿宋"/>
          <w:highlight w:val="none"/>
        </w:rPr>
      </w:pPr>
      <w:r>
        <w:rPr>
          <w:rFonts w:hint="eastAsia" w:ascii="仿宋" w:hAnsi="仿宋" w:eastAsia="仿宋" w:cs="仿宋"/>
          <w:highlight w:val="none"/>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5"/>
        <w:rPr>
          <w:rFonts w:ascii="仿宋" w:hAnsi="仿宋" w:eastAsia="仿宋" w:cs="仿宋"/>
          <w:highlight w:val="none"/>
        </w:rPr>
      </w:pPr>
      <w:r>
        <w:rPr>
          <w:rFonts w:hint="eastAsia" w:ascii="仿宋" w:hAnsi="仿宋" w:eastAsia="仿宋" w:cs="仿宋"/>
          <w:b/>
          <w:highlight w:val="none"/>
        </w:rPr>
        <w:t>十四、不正当利益</w:t>
      </w:r>
    </w:p>
    <w:p>
      <w:pPr>
        <w:pStyle w:val="35"/>
        <w:ind w:firstLine="480" w:firstLineChars="200"/>
        <w:rPr>
          <w:rFonts w:ascii="仿宋" w:hAnsi="仿宋" w:eastAsia="仿宋" w:cs="仿宋"/>
          <w:highlight w:val="none"/>
        </w:rPr>
      </w:pPr>
      <w:r>
        <w:rPr>
          <w:rFonts w:hint="eastAsia" w:ascii="仿宋" w:hAnsi="仿宋" w:eastAsia="仿宋" w:cs="仿宋"/>
          <w:highlight w:val="none"/>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5"/>
        <w:rPr>
          <w:rFonts w:ascii="仿宋" w:hAnsi="仿宋" w:eastAsia="仿宋" w:cs="仿宋"/>
          <w:highlight w:val="none"/>
        </w:rPr>
      </w:pPr>
      <w:r>
        <w:rPr>
          <w:rFonts w:hint="eastAsia" w:ascii="仿宋" w:hAnsi="仿宋" w:eastAsia="仿宋" w:cs="仿宋"/>
          <w:b/>
          <w:highlight w:val="none"/>
        </w:rPr>
        <w:t>十五、不可抗力</w:t>
      </w:r>
    </w:p>
    <w:p>
      <w:pPr>
        <w:pStyle w:val="35"/>
        <w:rPr>
          <w:rFonts w:ascii="仿宋" w:hAnsi="仿宋" w:eastAsia="仿宋" w:cs="仿宋"/>
          <w:highlight w:val="none"/>
        </w:rPr>
      </w:pPr>
      <w:r>
        <w:rPr>
          <w:rFonts w:hint="eastAsia" w:ascii="仿宋" w:hAnsi="仿宋" w:eastAsia="仿宋" w:cs="仿宋"/>
          <w:highlight w:val="none"/>
        </w:rPr>
        <w:t>（一）不可抗力定义</w:t>
      </w:r>
    </w:p>
    <w:p>
      <w:pPr>
        <w:pStyle w:val="35"/>
        <w:ind w:firstLine="480" w:firstLineChars="200"/>
        <w:rPr>
          <w:rFonts w:ascii="仿宋" w:hAnsi="仿宋" w:eastAsia="仿宋" w:cs="仿宋"/>
          <w:highlight w:val="none"/>
        </w:rPr>
      </w:pPr>
      <w:r>
        <w:rPr>
          <w:rFonts w:hint="eastAsia" w:ascii="仿宋" w:hAnsi="仿宋" w:eastAsia="仿宋" w:cs="仿宋"/>
          <w:highlight w:val="none"/>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5"/>
        <w:numPr>
          <w:ilvl w:val="0"/>
          <w:numId w:val="4"/>
        </w:numPr>
        <w:rPr>
          <w:rFonts w:ascii="仿宋" w:hAnsi="仿宋" w:eastAsia="仿宋" w:cs="仿宋"/>
          <w:highlight w:val="none"/>
        </w:rPr>
      </w:pPr>
      <w:r>
        <w:rPr>
          <w:rFonts w:hint="eastAsia" w:ascii="仿宋" w:hAnsi="仿宋" w:eastAsia="仿宋" w:cs="仿宋"/>
          <w:highlight w:val="none"/>
        </w:rPr>
        <w:t>不可抗力的后果</w:t>
      </w:r>
    </w:p>
    <w:p>
      <w:pPr>
        <w:pStyle w:val="35"/>
        <w:numPr>
          <w:ilvl w:val="0"/>
          <w:numId w:val="5"/>
        </w:numPr>
        <w:rPr>
          <w:rFonts w:ascii="仿宋" w:hAnsi="仿宋" w:eastAsia="仿宋" w:cs="仿宋"/>
          <w:highlight w:val="none"/>
        </w:rPr>
      </w:pPr>
      <w:r>
        <w:rPr>
          <w:rFonts w:hint="eastAsia" w:ascii="仿宋" w:hAnsi="仿宋" w:eastAsia="仿宋" w:cs="仿宋"/>
          <w:highlight w:val="none"/>
        </w:rPr>
        <w:t>如果发生不可抗力事件，影响一方履行其在本合同项下的义务，则在不可抗力造成的延误期内中止履行，而不视为违约。</w:t>
      </w:r>
    </w:p>
    <w:p>
      <w:pPr>
        <w:pStyle w:val="35"/>
        <w:numPr>
          <w:ilvl w:val="0"/>
          <w:numId w:val="5"/>
        </w:numPr>
        <w:rPr>
          <w:rFonts w:ascii="仿宋" w:hAnsi="仿宋" w:eastAsia="仿宋" w:cs="仿宋"/>
          <w:highlight w:val="none"/>
        </w:rPr>
      </w:pPr>
      <w:r>
        <w:rPr>
          <w:rFonts w:hint="eastAsia" w:ascii="仿宋" w:hAnsi="仿宋" w:eastAsia="仿宋" w:cs="仿宋"/>
          <w:highlight w:val="none"/>
        </w:rPr>
        <w:t>宣称发生不可抗力的一方应迅速书面通知其他各方，并在其后的15天内提供证明不可抗力发生及其持续时间的足够证据。</w:t>
      </w:r>
    </w:p>
    <w:p>
      <w:pPr>
        <w:pStyle w:val="35"/>
        <w:numPr>
          <w:ilvl w:val="0"/>
          <w:numId w:val="5"/>
        </w:numPr>
        <w:rPr>
          <w:rFonts w:ascii="仿宋" w:hAnsi="仿宋" w:eastAsia="仿宋" w:cs="仿宋"/>
          <w:highlight w:val="none"/>
        </w:rPr>
      </w:pPr>
      <w:r>
        <w:rPr>
          <w:rFonts w:hint="eastAsia" w:ascii="仿宋" w:hAnsi="仿宋" w:eastAsia="仿宋" w:cs="仿宋"/>
          <w:highlight w:val="none"/>
        </w:rPr>
        <w:t>如果发生不可抗力事件，各方应立即互相协商，以找到公平的解决办法，并且应尽一切合理努力将不可抗力的影响减少至最低限度。</w:t>
      </w:r>
    </w:p>
    <w:p>
      <w:pPr>
        <w:pStyle w:val="35"/>
        <w:numPr>
          <w:ilvl w:val="0"/>
          <w:numId w:val="5"/>
        </w:numPr>
        <w:rPr>
          <w:rFonts w:ascii="仿宋" w:hAnsi="仿宋" w:eastAsia="仿宋" w:cs="仿宋"/>
          <w:highlight w:val="none"/>
        </w:rPr>
      </w:pPr>
      <w:r>
        <w:rPr>
          <w:rFonts w:hint="eastAsia" w:ascii="仿宋" w:hAnsi="仿宋" w:eastAsia="仿宋" w:cs="仿宋"/>
          <w:highlight w:val="none"/>
        </w:rPr>
        <w:t>金钱债务的迟延责任不因不可抗力而免除。</w:t>
      </w:r>
    </w:p>
    <w:p>
      <w:pPr>
        <w:pStyle w:val="35"/>
        <w:numPr>
          <w:ilvl w:val="0"/>
          <w:numId w:val="5"/>
        </w:numPr>
        <w:rPr>
          <w:rFonts w:ascii="仿宋" w:hAnsi="仿宋" w:eastAsia="仿宋" w:cs="仿宋"/>
          <w:highlight w:val="none"/>
        </w:rPr>
      </w:pPr>
      <w:r>
        <w:rPr>
          <w:rFonts w:hint="eastAsia" w:ascii="仿宋" w:hAnsi="仿宋" w:eastAsia="仿宋" w:cs="仿宋"/>
          <w:highlight w:val="none"/>
        </w:rPr>
        <w:t>迟延履行期间发生的不可抗力不具有免责效力。</w:t>
      </w:r>
    </w:p>
    <w:p>
      <w:pPr>
        <w:pStyle w:val="35"/>
        <w:rPr>
          <w:highlight w:val="none"/>
        </w:rPr>
      </w:pPr>
      <w:r>
        <w:rPr>
          <w:rFonts w:hint="eastAsia" w:ascii="仿宋" w:hAnsi="仿宋" w:eastAsia="仿宋" w:cs="仿宋"/>
          <w:b/>
          <w:highlight w:val="none"/>
        </w:rPr>
        <w:t>十六、保密条款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（二）涉密人员范围:____________    </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（三）保密期限：无限期保密，直至双方同意解密或者保密信息实际上已经公开。</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sz w:val="24"/>
          <w:szCs w:val="24"/>
          <w:highlight w:val="none"/>
        </w:rPr>
      </w:pPr>
      <w:r>
        <w:rPr>
          <w:rFonts w:hint="eastAsia" w:ascii="仿宋" w:hAnsi="仿宋" w:eastAsia="仿宋" w:cs="仿宋"/>
          <w:b/>
          <w:sz w:val="24"/>
          <w:szCs w:val="24"/>
          <w:highlight w:val="none"/>
        </w:rPr>
        <w:t>十七、送达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（四）合同双方因履行合同发生诉讼/仲裁的，本合同地址原则上作为法院/仲裁机构送达司法文书的地址。 </w:t>
      </w:r>
    </w:p>
    <w:p>
      <w:pPr>
        <w:pStyle w:val="35"/>
        <w:rPr>
          <w:rFonts w:ascii="仿宋" w:hAnsi="仿宋" w:eastAsia="仿宋" w:cs="仿宋"/>
          <w:highlight w:val="none"/>
        </w:rPr>
      </w:pPr>
      <w:r>
        <w:rPr>
          <w:rFonts w:hint="eastAsia" w:ascii="仿宋" w:hAnsi="仿宋" w:eastAsia="仿宋" w:cs="仿宋"/>
          <w:b/>
          <w:highlight w:val="none"/>
        </w:rPr>
        <w:t>十八、其它</w:t>
      </w:r>
    </w:p>
    <w:p>
      <w:pPr>
        <w:pStyle w:val="35"/>
        <w:rPr>
          <w:rFonts w:ascii="仿宋" w:hAnsi="仿宋" w:eastAsia="仿宋" w:cs="仿宋"/>
          <w:highlight w:val="none"/>
        </w:rPr>
      </w:pPr>
      <w:r>
        <w:rPr>
          <w:rFonts w:hint="eastAsia" w:ascii="仿宋" w:hAnsi="仿宋" w:eastAsia="仿宋" w:cs="仿宋"/>
          <w:highlight w:val="none"/>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5"/>
        <w:rPr>
          <w:rFonts w:ascii="仿宋" w:hAnsi="仿宋" w:eastAsia="仿宋" w:cs="仿宋"/>
          <w:highlight w:val="none"/>
        </w:rPr>
      </w:pPr>
      <w:r>
        <w:rPr>
          <w:rFonts w:hint="eastAsia" w:ascii="仿宋" w:hAnsi="仿宋" w:eastAsia="仿宋" w:cs="仿宋"/>
          <w:highlight w:val="none"/>
        </w:rPr>
        <w:t>（二）本合同一式二份，合同各方各执一份。各份合同文本具有同等法律效力。</w:t>
      </w:r>
    </w:p>
    <w:p>
      <w:pPr>
        <w:pStyle w:val="35"/>
        <w:rPr>
          <w:rFonts w:ascii="仿宋" w:hAnsi="仿宋" w:eastAsia="仿宋" w:cs="仿宋"/>
          <w:highlight w:val="none"/>
        </w:rPr>
      </w:pPr>
      <w:r>
        <w:rPr>
          <w:rFonts w:hint="eastAsia" w:ascii="仿宋" w:hAnsi="仿宋" w:eastAsia="仿宋" w:cs="仿宋"/>
          <w:highlight w:val="none"/>
        </w:rPr>
        <w:t>（三）本合同经各方盖章后生效。</w:t>
      </w:r>
    </w:p>
    <w:p>
      <w:pPr>
        <w:pStyle w:val="35"/>
        <w:rPr>
          <w:rFonts w:ascii="仿宋" w:hAnsi="仿宋" w:eastAsia="仿宋" w:cs="仿宋"/>
          <w:highlight w:val="none"/>
        </w:rPr>
      </w:pPr>
    </w:p>
    <w:p>
      <w:pPr>
        <w:pStyle w:val="35"/>
        <w:rPr>
          <w:rFonts w:ascii="仿宋" w:hAnsi="仿宋" w:eastAsia="仿宋" w:cs="仿宋"/>
          <w:highlight w:val="none"/>
        </w:rPr>
      </w:pPr>
      <w:r>
        <w:rPr>
          <w:rFonts w:hint="eastAsia" w:ascii="仿宋" w:hAnsi="仿宋" w:eastAsia="仿宋" w:cs="仿宋"/>
          <w:highlight w:val="none"/>
        </w:rPr>
        <w:t>（以下无正文）</w:t>
      </w:r>
    </w:p>
    <w:p>
      <w:pPr>
        <w:pStyle w:val="35"/>
        <w:rPr>
          <w:rFonts w:ascii="仿宋" w:hAnsi="仿宋" w:eastAsia="仿宋" w:cs="仿宋"/>
          <w:highlight w:val="none"/>
        </w:rPr>
      </w:pPr>
    </w:p>
    <w:p>
      <w:pPr>
        <w:pStyle w:val="35"/>
        <w:rPr>
          <w:rFonts w:ascii="仿宋" w:hAnsi="仿宋" w:eastAsia="仿宋" w:cs="仿宋"/>
          <w:highlight w:val="none"/>
        </w:rPr>
      </w:pPr>
    </w:p>
    <w:tbl>
      <w:tblPr>
        <w:tblStyle w:val="39"/>
        <w:tblW w:w="9720" w:type="dxa"/>
        <w:tblInd w:w="0" w:type="dxa"/>
        <w:tblLayout w:type="fixed"/>
        <w:tblCellMar>
          <w:top w:w="0" w:type="dxa"/>
          <w:left w:w="108" w:type="dxa"/>
          <w:bottom w:w="0" w:type="dxa"/>
          <w:right w:w="108" w:type="dxa"/>
        </w:tblCellMar>
      </w:tblPr>
      <w:tblGrid>
        <w:gridCol w:w="4830"/>
        <w:gridCol w:w="4890"/>
      </w:tblGrid>
      <w:tr>
        <w:tblPrEx>
          <w:tblCellMar>
            <w:top w:w="0" w:type="dxa"/>
            <w:left w:w="108" w:type="dxa"/>
            <w:bottom w:w="0" w:type="dxa"/>
            <w:right w:w="108" w:type="dxa"/>
          </w:tblCellMar>
        </w:tblPrEx>
        <w:tc>
          <w:tcPr>
            <w:tcW w:w="4830" w:type="dxa"/>
          </w:tcPr>
          <w:p>
            <w:pPr>
              <w:pStyle w:val="35"/>
              <w:ind w:left="1687" w:hanging="1687" w:hangingChars="700"/>
              <w:rPr>
                <w:rFonts w:ascii="仿宋" w:hAnsi="仿宋" w:eastAsia="仿宋" w:cs="仿宋"/>
                <w:bCs/>
                <w:highlight w:val="none"/>
              </w:rPr>
            </w:pPr>
            <w:r>
              <w:rPr>
                <w:rFonts w:ascii="仿宋" w:hAnsi="仿宋" w:eastAsia="仿宋" w:cs="仿宋"/>
                <w:b/>
                <w:highlight w:val="none"/>
              </w:rPr>
              <w:t>甲方（盖章）：</w:t>
            </w:r>
            <w:r>
              <w:rPr>
                <w:rFonts w:ascii="仿宋" w:hAnsi="仿宋" w:eastAsia="仿宋" w:cs="仿宋"/>
                <w:bCs/>
                <w:highlight w:val="none"/>
              </w:rPr>
              <w:t>江西省水投江河信息技术有限公司</w:t>
            </w:r>
          </w:p>
          <w:p>
            <w:pPr>
              <w:pStyle w:val="35"/>
              <w:rPr>
                <w:rFonts w:ascii="仿宋" w:hAnsi="仿宋" w:eastAsia="仿宋" w:cs="仿宋"/>
                <w:bCs/>
                <w:highlight w:val="none"/>
              </w:rPr>
            </w:pPr>
          </w:p>
          <w:p>
            <w:pPr>
              <w:pStyle w:val="35"/>
              <w:rPr>
                <w:rFonts w:ascii="仿宋" w:hAnsi="仿宋" w:eastAsia="仿宋" w:cs="仿宋"/>
                <w:bCs/>
                <w:highlight w:val="none"/>
              </w:rPr>
            </w:pPr>
          </w:p>
        </w:tc>
        <w:tc>
          <w:tcPr>
            <w:tcW w:w="4890" w:type="dxa"/>
          </w:tcPr>
          <w:p>
            <w:pPr>
              <w:pStyle w:val="35"/>
              <w:rPr>
                <w:rFonts w:ascii="仿宋" w:hAnsi="仿宋" w:eastAsia="仿宋" w:cs="仿宋"/>
                <w:highlight w:val="none"/>
              </w:rPr>
            </w:pPr>
            <w:r>
              <w:rPr>
                <w:rFonts w:ascii="仿宋" w:hAnsi="仿宋" w:eastAsia="仿宋" w:cs="仿宋"/>
                <w:b/>
                <w:highlight w:val="none"/>
              </w:rPr>
              <w:t>乙方（盖章）：</w:t>
            </w:r>
            <w:r>
              <w:rPr>
                <w:rFonts w:ascii="仿宋" w:hAnsi="仿宋" w:eastAsia="仿宋" w:cs="仿宋"/>
                <w:highlight w:val="none"/>
              </w:rPr>
              <w:t>【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联系人：【   】</w:t>
            </w:r>
          </w:p>
        </w:tc>
        <w:tc>
          <w:tcPr>
            <w:tcW w:w="4890" w:type="dxa"/>
          </w:tcPr>
          <w:p>
            <w:pPr>
              <w:pStyle w:val="35"/>
              <w:rPr>
                <w:rFonts w:ascii="仿宋" w:hAnsi="仿宋" w:eastAsia="仿宋" w:cs="仿宋"/>
                <w:highlight w:val="none"/>
              </w:rPr>
            </w:pPr>
            <w:r>
              <w:rPr>
                <w:rFonts w:ascii="仿宋" w:hAnsi="仿宋" w:eastAsia="仿宋" w:cs="仿宋"/>
                <w:highlight w:val="none"/>
              </w:rPr>
              <w:t>联系人：【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电子邮箱：【   】</w:t>
            </w:r>
          </w:p>
        </w:tc>
        <w:tc>
          <w:tcPr>
            <w:tcW w:w="4890" w:type="dxa"/>
          </w:tcPr>
          <w:p>
            <w:pPr>
              <w:pStyle w:val="35"/>
              <w:rPr>
                <w:rFonts w:ascii="仿宋" w:hAnsi="仿宋" w:eastAsia="仿宋" w:cs="仿宋"/>
                <w:highlight w:val="none"/>
              </w:rPr>
            </w:pPr>
            <w:r>
              <w:rPr>
                <w:rFonts w:ascii="仿宋" w:hAnsi="仿宋" w:eastAsia="仿宋" w:cs="仿宋"/>
                <w:highlight w:val="none"/>
              </w:rPr>
              <w:t>电子邮箱：【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联系方式：【   】</w:t>
            </w:r>
          </w:p>
        </w:tc>
        <w:tc>
          <w:tcPr>
            <w:tcW w:w="4890" w:type="dxa"/>
          </w:tcPr>
          <w:p>
            <w:pPr>
              <w:pStyle w:val="35"/>
              <w:rPr>
                <w:rFonts w:ascii="仿宋" w:hAnsi="仿宋" w:eastAsia="仿宋" w:cs="仿宋"/>
                <w:highlight w:val="none"/>
              </w:rPr>
            </w:pPr>
            <w:r>
              <w:rPr>
                <w:rFonts w:ascii="仿宋" w:hAnsi="仿宋" w:eastAsia="仿宋" w:cs="仿宋"/>
                <w:highlight w:val="none"/>
              </w:rPr>
              <w:t>联系方式：【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联系地址：【   】</w:t>
            </w:r>
          </w:p>
        </w:tc>
        <w:tc>
          <w:tcPr>
            <w:tcW w:w="4890" w:type="dxa"/>
          </w:tcPr>
          <w:p>
            <w:pPr>
              <w:pStyle w:val="35"/>
              <w:rPr>
                <w:rFonts w:ascii="仿宋" w:hAnsi="仿宋" w:eastAsia="仿宋" w:cs="仿宋"/>
                <w:highlight w:val="none"/>
              </w:rPr>
            </w:pPr>
            <w:r>
              <w:rPr>
                <w:rFonts w:ascii="仿宋" w:hAnsi="仿宋" w:eastAsia="仿宋" w:cs="仿宋"/>
                <w:highlight w:val="none"/>
              </w:rPr>
              <w:t>联系地址：【   】</w:t>
            </w:r>
          </w:p>
        </w:tc>
      </w:tr>
      <w:tr>
        <w:tblPrEx>
          <w:tblCellMar>
            <w:top w:w="0" w:type="dxa"/>
            <w:left w:w="108" w:type="dxa"/>
            <w:bottom w:w="0" w:type="dxa"/>
            <w:right w:w="108" w:type="dxa"/>
          </w:tblCellMar>
        </w:tblPrEx>
        <w:tc>
          <w:tcPr>
            <w:tcW w:w="4830" w:type="dxa"/>
          </w:tcPr>
          <w:p>
            <w:pPr>
              <w:pStyle w:val="35"/>
              <w:rPr>
                <w:rFonts w:ascii="仿宋" w:hAnsi="仿宋" w:eastAsia="仿宋" w:cs="仿宋"/>
                <w:highlight w:val="none"/>
              </w:rPr>
            </w:pPr>
            <w:r>
              <w:rPr>
                <w:rFonts w:ascii="仿宋" w:hAnsi="仿宋" w:eastAsia="仿宋" w:cs="仿宋"/>
                <w:highlight w:val="none"/>
              </w:rPr>
              <w:t>签字时间：【   】</w:t>
            </w:r>
          </w:p>
        </w:tc>
        <w:tc>
          <w:tcPr>
            <w:tcW w:w="4890" w:type="dxa"/>
          </w:tcPr>
          <w:p>
            <w:pPr>
              <w:pStyle w:val="35"/>
              <w:rPr>
                <w:rFonts w:ascii="仿宋" w:hAnsi="仿宋" w:eastAsia="仿宋" w:cs="仿宋"/>
                <w:highlight w:val="none"/>
              </w:rPr>
            </w:pPr>
            <w:r>
              <w:rPr>
                <w:rFonts w:ascii="仿宋" w:hAnsi="仿宋" w:eastAsia="仿宋" w:cs="仿宋"/>
                <w:highlight w:val="none"/>
              </w:rPr>
              <w:t>签字时间：【   】</w:t>
            </w:r>
          </w:p>
        </w:tc>
      </w:tr>
    </w:tbl>
    <w:p>
      <w:pPr>
        <w:spacing w:line="360" w:lineRule="auto"/>
        <w:rPr>
          <w:rFonts w:ascii="宋体" w:hAnsi="宋体" w:cs="宋体"/>
          <w:sz w:val="24"/>
          <w:szCs w:val="24"/>
          <w:highlight w:val="none"/>
        </w:rPr>
      </w:pPr>
    </w:p>
    <w:bookmarkEnd w:id="56"/>
    <w:p>
      <w:pPr>
        <w:spacing w:line="360" w:lineRule="auto"/>
        <w:rPr>
          <w:highlight w:val="none"/>
        </w:rPr>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rPr>
          <w:highlight w:val="none"/>
        </w:rPr>
      </w:pPr>
    </w:p>
    <w:bookmarkEnd w:id="54"/>
    <w:p>
      <w:pPr>
        <w:pStyle w:val="2"/>
        <w:spacing w:line="360" w:lineRule="auto"/>
        <w:jc w:val="center"/>
        <w:rPr>
          <w:rFonts w:hAnsi="宋体"/>
          <w:b/>
          <w:sz w:val="32"/>
          <w:szCs w:val="32"/>
          <w:highlight w:val="none"/>
        </w:rPr>
      </w:pPr>
      <w:bookmarkStart w:id="57" w:name="_Toc26433"/>
      <w:r>
        <w:rPr>
          <w:rFonts w:hint="eastAsia" w:hAnsi="宋体"/>
          <w:b/>
          <w:sz w:val="32"/>
          <w:szCs w:val="32"/>
          <w:highlight w:val="none"/>
        </w:rPr>
        <w:t>第四章  附件（磋商响应文件格式）</w:t>
      </w:r>
      <w:bookmarkEnd w:id="57"/>
    </w:p>
    <w:p>
      <w:pPr>
        <w:spacing w:line="360" w:lineRule="auto"/>
        <w:rPr>
          <w:rFonts w:ascii="宋体" w:hAnsi="宋体"/>
          <w:b/>
          <w:sz w:val="52"/>
          <w:szCs w:val="5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sz w:val="24"/>
          <w:highlight w:val="none"/>
        </w:rPr>
      </w:pPr>
      <w:r>
        <w:rPr>
          <w:rFonts w:hint="eastAsia" w:ascii="宋体" w:hAnsi="宋体"/>
          <w:sz w:val="84"/>
          <w:szCs w:val="84"/>
          <w:highlight w:val="none"/>
        </w:rPr>
        <w:t>磋商响应文件</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8"/>
          <w:highlight w:val="none"/>
          <w:u w:val="single"/>
        </w:rPr>
      </w:pPr>
      <w:r>
        <w:rPr>
          <w:rFonts w:hint="eastAsia" w:ascii="宋体" w:hAnsi="宋体"/>
          <w:sz w:val="28"/>
          <w:highlight w:val="none"/>
        </w:rPr>
        <w:t xml:space="preserve">               项目名称： </w:t>
      </w:r>
      <w:r>
        <w:rPr>
          <w:rFonts w:hint="eastAsia" w:ascii="宋体" w:hAnsi="宋体"/>
          <w:sz w:val="28"/>
          <w:highlight w:val="none"/>
          <w:u w:val="single"/>
        </w:rPr>
        <w:t xml:space="preserve">                        </w:t>
      </w: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rPr>
          <w:rFonts w:ascii="宋体" w:hAnsi="宋体"/>
          <w:sz w:val="28"/>
          <w:highlight w:val="none"/>
          <w:u w:val="single"/>
        </w:rPr>
      </w:pPr>
      <w:r>
        <w:rPr>
          <w:rFonts w:hint="eastAsia" w:ascii="宋体" w:hAnsi="宋体"/>
          <w:sz w:val="28"/>
          <w:highlight w:val="none"/>
        </w:rPr>
        <w:t xml:space="preserve">               磋商编号： </w:t>
      </w:r>
      <w:r>
        <w:rPr>
          <w:rFonts w:hint="eastAsia" w:ascii="宋体" w:hAnsi="宋体"/>
          <w:sz w:val="28"/>
          <w:highlight w:val="none"/>
          <w:u w:val="single"/>
        </w:rPr>
        <w:t xml:space="preserve">                        </w:t>
      </w: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rPr>
          <w:rFonts w:ascii="宋体" w:hAnsi="宋体"/>
          <w:sz w:val="28"/>
          <w:highlight w:val="none"/>
          <w:u w:val="single"/>
        </w:rPr>
      </w:pPr>
    </w:p>
    <w:p>
      <w:pPr>
        <w:spacing w:line="360" w:lineRule="auto"/>
        <w:jc w:val="center"/>
        <w:rPr>
          <w:rFonts w:ascii="宋体" w:hAnsi="宋体"/>
          <w:sz w:val="28"/>
          <w:highlight w:val="none"/>
        </w:rPr>
      </w:pPr>
      <w:r>
        <w:rPr>
          <w:rFonts w:hint="eastAsia" w:ascii="宋体" w:hAnsi="宋体"/>
          <w:sz w:val="28"/>
          <w:highlight w:val="none"/>
        </w:rPr>
        <w:t>单位（公章）</w:t>
      </w:r>
    </w:p>
    <w:p>
      <w:pPr>
        <w:spacing w:line="360" w:lineRule="auto"/>
        <w:jc w:val="center"/>
        <w:rPr>
          <w:rFonts w:ascii="宋体" w:hAnsi="宋体"/>
          <w:sz w:val="28"/>
          <w:highlight w:val="none"/>
        </w:rPr>
      </w:pPr>
    </w:p>
    <w:p>
      <w:pPr>
        <w:spacing w:line="360" w:lineRule="auto"/>
        <w:jc w:val="center"/>
        <w:rPr>
          <w:rFonts w:ascii="宋体" w:hAnsi="宋体"/>
          <w:w w:val="80"/>
          <w:sz w:val="36"/>
          <w:highlight w:val="none"/>
        </w:rPr>
        <w:sectPr>
          <w:pgSz w:w="11907" w:h="16840"/>
          <w:pgMar w:top="1418" w:right="1418" w:bottom="1418" w:left="1418" w:header="720" w:footer="720" w:gutter="0"/>
          <w:cols w:space="720" w:num="1"/>
          <w:docGrid w:linePitch="285" w:charSpace="0"/>
        </w:sectPr>
      </w:pPr>
      <w:r>
        <w:rPr>
          <w:rFonts w:hint="eastAsia" w:ascii="宋体" w:hAnsi="宋体"/>
          <w:sz w:val="28"/>
          <w:highlight w:val="none"/>
        </w:rPr>
        <w:t>年   月   日</w:t>
      </w:r>
    </w:p>
    <w:p>
      <w:pPr>
        <w:pStyle w:val="3"/>
        <w:spacing w:line="360" w:lineRule="auto"/>
        <w:jc w:val="center"/>
        <w:rPr>
          <w:rFonts w:ascii="宋体" w:hAnsi="宋体" w:eastAsia="宋体"/>
          <w:highlight w:val="none"/>
        </w:rPr>
      </w:pPr>
      <w:bookmarkStart w:id="58" w:name="_Toc516734872"/>
      <w:bookmarkStart w:id="59" w:name="_Toc520958261"/>
      <w:bookmarkStart w:id="60" w:name="_Toc518573423"/>
      <w:bookmarkStart w:id="61" w:name="_Toc30314"/>
      <w:bookmarkStart w:id="62" w:name="_Toc223948598"/>
      <w:bookmarkStart w:id="63" w:name="_Toc27082250"/>
      <w:r>
        <w:rPr>
          <w:rFonts w:hint="eastAsia" w:ascii="宋体" w:hAnsi="宋体" w:eastAsia="宋体"/>
          <w:highlight w:val="none"/>
        </w:rPr>
        <w:t>1. 磋商响应书</w:t>
      </w:r>
      <w:bookmarkEnd w:id="58"/>
      <w:bookmarkEnd w:id="59"/>
      <w:bookmarkEnd w:id="60"/>
      <w:bookmarkEnd w:id="61"/>
      <w:bookmarkEnd w:id="62"/>
      <w:bookmarkEnd w:id="63"/>
    </w:p>
    <w:p>
      <w:pPr>
        <w:spacing w:line="360" w:lineRule="auto"/>
        <w:rPr>
          <w:rFonts w:ascii="宋体" w:hAnsi="宋体"/>
          <w:sz w:val="24"/>
          <w:szCs w:val="24"/>
          <w:highlight w:val="none"/>
        </w:rPr>
      </w:pPr>
      <w:r>
        <w:rPr>
          <w:rFonts w:hint="eastAsia" w:ascii="宋体" w:hAnsi="宋体"/>
          <w:sz w:val="24"/>
          <w:highlight w:val="none"/>
        </w:rPr>
        <w:t>致</w:t>
      </w:r>
      <w:r>
        <w:rPr>
          <w:rFonts w:hint="eastAsia" w:ascii="宋体" w:hAnsi="宋体"/>
          <w:sz w:val="24"/>
          <w:szCs w:val="24"/>
          <w:highlight w:val="none"/>
        </w:rPr>
        <w:t>：</w:t>
      </w:r>
    </w:p>
    <w:p>
      <w:pPr>
        <w:spacing w:line="360" w:lineRule="auto"/>
        <w:ind w:firstLine="480"/>
        <w:rPr>
          <w:rFonts w:ascii="宋体" w:hAnsi="宋体"/>
          <w:sz w:val="24"/>
          <w:highlight w:val="none"/>
        </w:rPr>
      </w:pPr>
      <w:r>
        <w:rPr>
          <w:rFonts w:hint="eastAsia" w:ascii="宋体" w:hAnsi="宋体"/>
          <w:sz w:val="24"/>
          <w:highlight w:val="none"/>
        </w:rPr>
        <w:t>根据贵方为</w:t>
      </w:r>
      <w:r>
        <w:rPr>
          <w:rFonts w:ascii="宋体" w:hAnsi="宋体"/>
          <w:i/>
          <w:sz w:val="24"/>
          <w:highlight w:val="none"/>
        </w:rPr>
        <w:t>(</w:t>
      </w:r>
      <w:r>
        <w:rPr>
          <w:rFonts w:hint="eastAsia" w:ascii="宋体" w:hAnsi="宋体"/>
          <w:i/>
          <w:sz w:val="24"/>
          <w:highlight w:val="none"/>
          <w:u w:val="single"/>
        </w:rPr>
        <w:t>项目名称</w:t>
      </w:r>
      <w:r>
        <w:rPr>
          <w:rFonts w:ascii="宋体" w:hAnsi="宋体"/>
          <w:i/>
          <w:sz w:val="24"/>
          <w:highlight w:val="none"/>
        </w:rPr>
        <w:t>)</w:t>
      </w:r>
      <w:r>
        <w:rPr>
          <w:rFonts w:hint="eastAsia" w:ascii="宋体" w:hAnsi="宋体"/>
          <w:sz w:val="24"/>
          <w:highlight w:val="none"/>
        </w:rPr>
        <w:t>项目通过竞争性磋商项目的磋商公告</w:t>
      </w:r>
      <w:r>
        <w:rPr>
          <w:rFonts w:hint="eastAsia" w:ascii="宋体" w:hAnsi="宋体"/>
          <w:i/>
          <w:sz w:val="24"/>
          <w:highlight w:val="none"/>
          <w:u w:val="single"/>
        </w:rPr>
        <w:t>(磋商编号</w:t>
      </w:r>
      <w:r>
        <w:rPr>
          <w:rFonts w:ascii="宋体" w:hAnsi="宋体"/>
          <w:i/>
          <w:sz w:val="24"/>
          <w:highlight w:val="none"/>
          <w:u w:val="single"/>
        </w:rPr>
        <w:t>)</w:t>
      </w:r>
      <w:r>
        <w:rPr>
          <w:rFonts w:hint="eastAsia" w:ascii="宋体" w:hAnsi="宋体"/>
          <w:sz w:val="24"/>
          <w:highlight w:val="none"/>
        </w:rPr>
        <w:t>，签字代表</w:t>
      </w:r>
      <w:r>
        <w:rPr>
          <w:rFonts w:ascii="宋体" w:hAnsi="宋体"/>
          <w:i/>
          <w:sz w:val="24"/>
          <w:highlight w:val="none"/>
        </w:rPr>
        <w:t>(</w:t>
      </w:r>
      <w:r>
        <w:rPr>
          <w:rFonts w:hint="eastAsia" w:ascii="宋体" w:hAnsi="宋体"/>
          <w:i/>
          <w:sz w:val="24"/>
          <w:highlight w:val="none"/>
          <w:u w:val="single"/>
        </w:rPr>
        <w:t>姓名、职务</w:t>
      </w:r>
      <w:r>
        <w:rPr>
          <w:rFonts w:ascii="宋体" w:hAnsi="宋体"/>
          <w:i/>
          <w:sz w:val="24"/>
          <w:highlight w:val="none"/>
        </w:rPr>
        <w:t>)</w:t>
      </w:r>
      <w:r>
        <w:rPr>
          <w:rFonts w:hint="eastAsia" w:ascii="宋体" w:hAnsi="宋体"/>
          <w:sz w:val="24"/>
          <w:highlight w:val="none"/>
        </w:rPr>
        <w:t>经正式授权并代表我方</w:t>
      </w:r>
      <w:r>
        <w:rPr>
          <w:rFonts w:ascii="宋体" w:hAnsi="宋体"/>
          <w:i/>
          <w:sz w:val="24"/>
          <w:highlight w:val="none"/>
          <w:u w:val="single"/>
        </w:rPr>
        <w:t>(</w:t>
      </w:r>
      <w:r>
        <w:rPr>
          <w:rFonts w:hint="eastAsia" w:ascii="宋体" w:hAnsi="宋体"/>
          <w:i/>
          <w:sz w:val="24"/>
          <w:highlight w:val="none"/>
          <w:u w:val="single"/>
        </w:rPr>
        <w:t>单位名称、地址)</w:t>
      </w:r>
      <w:r>
        <w:rPr>
          <w:rFonts w:hint="eastAsia" w:ascii="宋体" w:hAnsi="宋体"/>
          <w:sz w:val="24"/>
          <w:highlight w:val="none"/>
        </w:rPr>
        <w:t>提交下述文件正本一份及副本一份</w:t>
      </w:r>
      <w:r>
        <w:rPr>
          <w:rFonts w:ascii="宋体" w:hAnsi="宋体"/>
          <w:sz w:val="24"/>
          <w:highlight w:val="none"/>
        </w:rPr>
        <w:t>:</w:t>
      </w:r>
    </w:p>
    <w:p>
      <w:pPr>
        <w:spacing w:line="360" w:lineRule="auto"/>
        <w:ind w:left="707" w:hanging="283"/>
        <w:rPr>
          <w:rFonts w:ascii="宋体" w:hAnsi="宋体"/>
          <w:sz w:val="24"/>
          <w:highlight w:val="none"/>
        </w:rPr>
      </w:pPr>
      <w:r>
        <w:rPr>
          <w:rFonts w:hint="eastAsia" w:ascii="宋体" w:hAnsi="宋体"/>
          <w:sz w:val="24"/>
          <w:highlight w:val="none"/>
        </w:rPr>
        <w:t>(1) 磋商响应书</w:t>
      </w:r>
    </w:p>
    <w:p>
      <w:pPr>
        <w:spacing w:line="360" w:lineRule="auto"/>
        <w:ind w:left="707" w:hanging="283"/>
        <w:rPr>
          <w:rFonts w:ascii="宋体" w:hAnsi="宋体"/>
          <w:sz w:val="24"/>
          <w:highlight w:val="none"/>
        </w:rPr>
      </w:pPr>
      <w:r>
        <w:rPr>
          <w:rFonts w:hint="eastAsia" w:ascii="宋体" w:hAnsi="宋体"/>
          <w:sz w:val="24"/>
          <w:highlight w:val="none"/>
        </w:rPr>
        <w:t>(2) 报价表</w:t>
      </w:r>
    </w:p>
    <w:p>
      <w:pPr>
        <w:spacing w:line="360" w:lineRule="auto"/>
        <w:ind w:left="707" w:hanging="283"/>
        <w:rPr>
          <w:rFonts w:ascii="宋体" w:hAnsi="宋体"/>
          <w:sz w:val="24"/>
          <w:highlight w:val="none"/>
        </w:rPr>
      </w:pPr>
      <w:r>
        <w:rPr>
          <w:rFonts w:hint="eastAsia" w:ascii="宋体" w:hAnsi="宋体"/>
          <w:sz w:val="24"/>
          <w:highlight w:val="none"/>
        </w:rPr>
        <w:t>(3) 技术（参数）</w:t>
      </w:r>
      <w:r>
        <w:rPr>
          <w:rFonts w:hint="eastAsia" w:ascii="宋体" w:hAnsi="宋体"/>
          <w:sz w:val="24"/>
          <w:highlight w:val="none"/>
          <w:lang w:val="en-GB"/>
        </w:rPr>
        <w:t>响应/偏离</w:t>
      </w:r>
      <w:r>
        <w:rPr>
          <w:rFonts w:hint="eastAsia" w:ascii="宋体" w:hAnsi="宋体"/>
          <w:sz w:val="24"/>
          <w:highlight w:val="none"/>
        </w:rPr>
        <w:t>表</w:t>
      </w:r>
    </w:p>
    <w:p>
      <w:pPr>
        <w:spacing w:line="360" w:lineRule="auto"/>
        <w:ind w:left="707" w:hanging="283"/>
        <w:rPr>
          <w:rFonts w:ascii="宋体" w:hAnsi="宋体"/>
          <w:sz w:val="24"/>
          <w:highlight w:val="none"/>
        </w:rPr>
      </w:pPr>
      <w:r>
        <w:rPr>
          <w:rFonts w:hint="eastAsia" w:ascii="宋体" w:hAnsi="宋体"/>
          <w:sz w:val="24"/>
          <w:highlight w:val="none"/>
        </w:rPr>
        <w:t>(4) 商务条款响应/偏离表</w:t>
      </w:r>
    </w:p>
    <w:p>
      <w:pPr>
        <w:spacing w:line="360" w:lineRule="auto"/>
        <w:ind w:left="707" w:hanging="283"/>
        <w:rPr>
          <w:rFonts w:ascii="宋体" w:hAnsi="宋体"/>
          <w:sz w:val="24"/>
          <w:highlight w:val="none"/>
        </w:rPr>
      </w:pPr>
      <w:r>
        <w:rPr>
          <w:rFonts w:hint="eastAsia" w:ascii="宋体" w:hAnsi="宋体"/>
          <w:sz w:val="24"/>
          <w:highlight w:val="none"/>
        </w:rPr>
        <w:t>(5) 技术（服务）文件</w:t>
      </w:r>
    </w:p>
    <w:p>
      <w:pPr>
        <w:spacing w:line="360" w:lineRule="auto"/>
        <w:ind w:left="707" w:hanging="283"/>
        <w:rPr>
          <w:rFonts w:ascii="宋体" w:hAnsi="宋体"/>
          <w:sz w:val="24"/>
          <w:highlight w:val="none"/>
        </w:rPr>
      </w:pPr>
      <w:r>
        <w:rPr>
          <w:rFonts w:hint="eastAsia" w:ascii="宋体" w:hAnsi="宋体"/>
          <w:sz w:val="24"/>
          <w:highlight w:val="none"/>
        </w:rPr>
        <w:t>(6) 资格证明文件</w:t>
      </w:r>
    </w:p>
    <w:p>
      <w:pPr>
        <w:spacing w:line="360" w:lineRule="auto"/>
        <w:ind w:left="707" w:hanging="283"/>
        <w:rPr>
          <w:rFonts w:ascii="宋体" w:hAnsi="宋体"/>
          <w:sz w:val="24"/>
          <w:highlight w:val="none"/>
        </w:rPr>
      </w:pPr>
      <w:r>
        <w:rPr>
          <w:rFonts w:hint="eastAsia" w:ascii="宋体" w:hAnsi="宋体"/>
          <w:sz w:val="24"/>
          <w:highlight w:val="none"/>
        </w:rPr>
        <w:t>(7) 其他资料</w:t>
      </w:r>
    </w:p>
    <w:p>
      <w:pPr>
        <w:spacing w:line="360" w:lineRule="auto"/>
        <w:ind w:left="707" w:hanging="283"/>
        <w:rPr>
          <w:rFonts w:ascii="宋体" w:hAnsi="宋体"/>
          <w:sz w:val="24"/>
          <w:highlight w:val="none"/>
        </w:rPr>
      </w:pPr>
      <w:r>
        <w:rPr>
          <w:rFonts w:hint="eastAsia" w:ascii="宋体" w:hAnsi="宋体"/>
          <w:sz w:val="24"/>
          <w:highlight w:val="none"/>
        </w:rPr>
        <w:t>据此函</w:t>
      </w:r>
      <w:r>
        <w:rPr>
          <w:rFonts w:ascii="宋体" w:hAnsi="宋体"/>
          <w:sz w:val="24"/>
          <w:highlight w:val="none"/>
        </w:rPr>
        <w:t>,</w:t>
      </w:r>
      <w:r>
        <w:rPr>
          <w:rFonts w:hint="eastAsia" w:ascii="宋体" w:hAnsi="宋体"/>
          <w:sz w:val="24"/>
          <w:highlight w:val="none"/>
        </w:rPr>
        <w:t>签字代表宣布同意如下</w:t>
      </w:r>
      <w:r>
        <w:rPr>
          <w:rFonts w:ascii="宋体" w:hAnsi="宋体"/>
          <w:sz w:val="24"/>
          <w:highlight w:val="none"/>
        </w:rPr>
        <w:t>:</w:t>
      </w:r>
    </w:p>
    <w:p>
      <w:pPr>
        <w:spacing w:line="360" w:lineRule="auto"/>
        <w:ind w:left="707" w:hanging="283"/>
        <w:rPr>
          <w:rFonts w:ascii="宋体" w:hAnsi="宋体"/>
          <w:sz w:val="24"/>
          <w:highlight w:val="none"/>
        </w:rPr>
      </w:pPr>
      <w:r>
        <w:rPr>
          <w:rFonts w:ascii="宋体" w:hAnsi="宋体"/>
          <w:sz w:val="24"/>
          <w:highlight w:val="none"/>
        </w:rPr>
        <w:t>1.</w:t>
      </w:r>
      <w:r>
        <w:rPr>
          <w:rFonts w:hint="eastAsia" w:ascii="宋体" w:hAnsi="宋体"/>
          <w:sz w:val="24"/>
          <w:highlight w:val="none"/>
        </w:rPr>
        <w:t xml:space="preserve"> 所附报价表中规定的应提交服务总价为</w:t>
      </w:r>
      <w:r>
        <w:rPr>
          <w:rFonts w:hint="eastAsia" w:ascii="宋体" w:hAnsi="宋体"/>
          <w:sz w:val="24"/>
          <w:highlight w:val="none"/>
          <w:u w:val="single"/>
        </w:rPr>
        <w:t xml:space="preserve">          </w:t>
      </w:r>
      <w:r>
        <w:rPr>
          <w:rFonts w:hint="eastAsia" w:ascii="宋体" w:hAnsi="宋体"/>
          <w:sz w:val="24"/>
          <w:highlight w:val="none"/>
        </w:rPr>
        <w:t>（用文字和数字表示的总价</w:t>
      </w:r>
      <w:r>
        <w:rPr>
          <w:rFonts w:ascii="宋体" w:hAnsi="宋体"/>
          <w:sz w:val="24"/>
          <w:highlight w:val="none"/>
        </w:rPr>
        <w:t>）</w:t>
      </w:r>
      <w:r>
        <w:rPr>
          <w:rFonts w:hint="eastAsia" w:ascii="宋体" w:hAnsi="宋体"/>
          <w:sz w:val="24"/>
          <w:highlight w:val="none"/>
        </w:rPr>
        <w:t>。</w:t>
      </w:r>
    </w:p>
    <w:p>
      <w:pPr>
        <w:spacing w:line="360" w:lineRule="auto"/>
        <w:ind w:left="707" w:hanging="283"/>
        <w:rPr>
          <w:rFonts w:ascii="宋体" w:hAnsi="宋体"/>
          <w:sz w:val="24"/>
          <w:highlight w:val="none"/>
        </w:rPr>
      </w:pPr>
      <w:r>
        <w:rPr>
          <w:rFonts w:ascii="宋体" w:hAnsi="宋体"/>
          <w:sz w:val="24"/>
          <w:highlight w:val="none"/>
        </w:rPr>
        <w:t>2.</w:t>
      </w:r>
      <w:r>
        <w:rPr>
          <w:rFonts w:hint="eastAsia" w:ascii="宋体" w:hAnsi="宋体"/>
          <w:sz w:val="24"/>
          <w:highlight w:val="none"/>
        </w:rPr>
        <w:t xml:space="preserve"> 我方将按磋商文件的规定履行合同责任和义务。</w:t>
      </w:r>
    </w:p>
    <w:p>
      <w:pPr>
        <w:spacing w:line="360" w:lineRule="auto"/>
        <w:ind w:left="707" w:hanging="283"/>
        <w:rPr>
          <w:rFonts w:ascii="宋体" w:hAnsi="宋体"/>
          <w:sz w:val="24"/>
          <w:highlight w:val="none"/>
        </w:rPr>
      </w:pPr>
      <w:r>
        <w:rPr>
          <w:rFonts w:ascii="宋体" w:hAnsi="宋体"/>
          <w:sz w:val="24"/>
          <w:highlight w:val="none"/>
        </w:rPr>
        <w:t>3.</w:t>
      </w:r>
      <w:r>
        <w:rPr>
          <w:rFonts w:hint="eastAsia" w:ascii="宋体" w:hAnsi="宋体"/>
          <w:sz w:val="24"/>
          <w:highlight w:val="none"/>
        </w:rPr>
        <w:t xml:space="preserve"> 我方已详细审查全部磋商文件，包括第</w:t>
      </w:r>
      <w:r>
        <w:rPr>
          <w:rFonts w:ascii="宋体" w:hAnsi="宋体"/>
          <w:sz w:val="24"/>
          <w:highlight w:val="none"/>
          <w:u w:val="single"/>
        </w:rPr>
        <w:t>(</w:t>
      </w:r>
      <w:r>
        <w:rPr>
          <w:rFonts w:hint="eastAsia" w:ascii="宋体" w:hAnsi="宋体"/>
          <w:sz w:val="24"/>
          <w:highlight w:val="none"/>
          <w:u w:val="single"/>
        </w:rPr>
        <w:t>编号、补遗书</w:t>
      </w:r>
      <w:r>
        <w:rPr>
          <w:rFonts w:ascii="宋体" w:hAnsi="宋体"/>
          <w:sz w:val="24"/>
          <w:highlight w:val="none"/>
          <w:u w:val="single"/>
        </w:rPr>
        <w:t>)(</w:t>
      </w:r>
      <w:r>
        <w:rPr>
          <w:rFonts w:hint="eastAsia" w:ascii="宋体" w:hAnsi="宋体"/>
          <w:sz w:val="24"/>
          <w:highlight w:val="none"/>
          <w:u w:val="single"/>
        </w:rPr>
        <w:t>如果有的话</w:t>
      </w:r>
      <w:r>
        <w:rPr>
          <w:rFonts w:ascii="宋体" w:hAnsi="宋体"/>
          <w:sz w:val="24"/>
          <w:highlight w:val="none"/>
          <w:u w:val="single"/>
        </w:rPr>
        <w:t>)</w:t>
      </w:r>
      <w:r>
        <w:rPr>
          <w:rFonts w:hint="eastAsia" w:ascii="宋体" w:hAnsi="宋体"/>
          <w:sz w:val="24"/>
          <w:highlight w:val="none"/>
          <w:u w:val="single"/>
        </w:rPr>
        <w:t>。</w:t>
      </w:r>
      <w:r>
        <w:rPr>
          <w:rFonts w:hint="eastAsia" w:ascii="宋体" w:hAnsi="宋体"/>
          <w:sz w:val="24"/>
          <w:highlight w:val="none"/>
        </w:rPr>
        <w:t>我们完全理解并同意放弃对这方面有不明及误解的权力。</w:t>
      </w:r>
    </w:p>
    <w:p>
      <w:pPr>
        <w:spacing w:line="360" w:lineRule="auto"/>
        <w:ind w:left="707" w:hanging="283"/>
        <w:rPr>
          <w:rFonts w:ascii="宋体" w:hAnsi="宋体"/>
          <w:sz w:val="24"/>
          <w:highlight w:val="none"/>
        </w:rPr>
      </w:pPr>
      <w:r>
        <w:rPr>
          <w:rFonts w:ascii="宋体" w:hAnsi="宋体"/>
          <w:sz w:val="24"/>
          <w:highlight w:val="none"/>
        </w:rPr>
        <w:t>4.</w:t>
      </w:r>
      <w:r>
        <w:rPr>
          <w:rFonts w:hint="eastAsia" w:ascii="宋体" w:hAnsi="宋体"/>
          <w:sz w:val="24"/>
          <w:highlight w:val="none"/>
        </w:rPr>
        <w:t xml:space="preserve"> 本磋商有效期为自磋商日起</w:t>
      </w:r>
      <w:r>
        <w:rPr>
          <w:rFonts w:hint="eastAsia" w:ascii="宋体" w:hAnsi="宋体"/>
          <w:sz w:val="24"/>
          <w:highlight w:val="none"/>
          <w:u w:val="single"/>
        </w:rPr>
        <w:t xml:space="preserve">   90   </w:t>
      </w:r>
      <w:r>
        <w:rPr>
          <w:rFonts w:hint="eastAsia" w:ascii="宋体" w:hAnsi="宋体"/>
          <w:sz w:val="24"/>
          <w:highlight w:val="none"/>
        </w:rPr>
        <w:t>个日历日。</w:t>
      </w:r>
    </w:p>
    <w:p>
      <w:pPr>
        <w:spacing w:line="360" w:lineRule="auto"/>
        <w:ind w:left="707" w:hanging="283"/>
        <w:rPr>
          <w:rFonts w:ascii="宋体" w:hAnsi="宋体"/>
          <w:sz w:val="24"/>
          <w:highlight w:val="none"/>
        </w:rPr>
      </w:pPr>
      <w:r>
        <w:rPr>
          <w:rFonts w:ascii="宋体" w:hAnsi="宋体"/>
          <w:sz w:val="24"/>
          <w:highlight w:val="none"/>
        </w:rPr>
        <w:t>5.</w:t>
      </w:r>
      <w:r>
        <w:rPr>
          <w:rFonts w:hint="eastAsia" w:ascii="宋体" w:hAnsi="宋体"/>
          <w:sz w:val="24"/>
          <w:highlight w:val="none"/>
        </w:rPr>
        <w:t xml:space="preserve"> 如果在规定的磋商时间后，我方在磋商有效期内撤回磋商响应文件，磋商保证金不予退回。</w:t>
      </w:r>
    </w:p>
    <w:p>
      <w:pPr>
        <w:spacing w:line="360" w:lineRule="auto"/>
        <w:ind w:left="707" w:hanging="283"/>
        <w:rPr>
          <w:rFonts w:ascii="宋体" w:hAnsi="宋体"/>
          <w:sz w:val="24"/>
          <w:highlight w:val="none"/>
        </w:rPr>
      </w:pPr>
      <w:r>
        <w:rPr>
          <w:rFonts w:hint="eastAsia" w:ascii="宋体" w:hAnsi="宋体"/>
          <w:sz w:val="24"/>
          <w:highlight w:val="none"/>
        </w:rPr>
        <w:t xml:space="preserve"> 6</w:t>
      </w:r>
      <w:r>
        <w:rPr>
          <w:rFonts w:ascii="宋体" w:hAnsi="宋体"/>
          <w:sz w:val="24"/>
          <w:highlight w:val="none"/>
        </w:rPr>
        <w:t>.</w:t>
      </w:r>
      <w:r>
        <w:rPr>
          <w:rFonts w:hint="eastAsia" w:ascii="宋体" w:hAnsi="宋体"/>
          <w:sz w:val="24"/>
          <w:highlight w:val="none"/>
        </w:rPr>
        <w:t xml:space="preserve"> 我方同意提供按照贵方可能要求的与其磋商有关的一切数据或资料，完全理解贵方不一定接受最低价的磋商或收到的任何磋商响应文件。</w:t>
      </w:r>
    </w:p>
    <w:p>
      <w:pPr>
        <w:spacing w:line="360" w:lineRule="auto"/>
        <w:ind w:left="707" w:hanging="283"/>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 xml:space="preserve"> 与本磋商有关的一切正式往来信函请寄</w:t>
      </w:r>
      <w:r>
        <w:rPr>
          <w:rFonts w:ascii="宋体" w:hAnsi="宋体"/>
          <w:sz w:val="24"/>
          <w:highlight w:val="none"/>
        </w:rPr>
        <w:t>:</w:t>
      </w:r>
    </w:p>
    <w:p>
      <w:pPr>
        <w:spacing w:line="360" w:lineRule="auto"/>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电子邮件</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公章</w:t>
      </w:r>
      <w:r>
        <w:rPr>
          <w:rFonts w:hint="eastAsia" w:ascii="宋体" w:hAnsi="宋体"/>
          <w:sz w:val="24"/>
          <w:highlight w:val="none"/>
          <w:u w:val="single"/>
        </w:rPr>
        <w:t xml:space="preserve">                                       </w:t>
      </w:r>
    </w:p>
    <w:p>
      <w:pPr>
        <w:spacing w:line="360" w:lineRule="auto"/>
        <w:rPr>
          <w:rFonts w:ascii="宋体" w:hAnsi="宋体"/>
          <w:sz w:val="24"/>
          <w:highlight w:val="none"/>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sz w:val="24"/>
          <w:highlight w:val="none"/>
        </w:rPr>
        <w:t>日期</w:t>
      </w:r>
      <w:r>
        <w:rPr>
          <w:rFonts w:hint="eastAsia" w:ascii="宋体" w:hAnsi="宋体"/>
          <w:sz w:val="24"/>
          <w:highlight w:val="none"/>
          <w:u w:val="single"/>
        </w:rPr>
        <w:t xml:space="preserve">                                      </w:t>
      </w:r>
    </w:p>
    <w:p>
      <w:pPr>
        <w:pStyle w:val="3"/>
        <w:spacing w:line="360" w:lineRule="auto"/>
        <w:jc w:val="center"/>
        <w:rPr>
          <w:rFonts w:ascii="宋体" w:hAnsi="宋体" w:eastAsia="宋体"/>
          <w:highlight w:val="none"/>
        </w:rPr>
      </w:pPr>
      <w:bookmarkStart w:id="64" w:name="_Toc518573424"/>
      <w:bookmarkStart w:id="65" w:name="_Toc520958262"/>
      <w:bookmarkStart w:id="66" w:name="_Toc16996"/>
      <w:bookmarkStart w:id="67" w:name="_Toc516734873"/>
      <w:bookmarkStart w:id="68" w:name="_Toc27082251"/>
      <w:r>
        <w:rPr>
          <w:rFonts w:hint="eastAsia" w:ascii="宋体" w:hAnsi="宋体" w:eastAsia="宋体"/>
          <w:highlight w:val="none"/>
        </w:rPr>
        <w:t>2. 报 价 表</w:t>
      </w:r>
      <w:bookmarkEnd w:id="64"/>
      <w:bookmarkEnd w:id="65"/>
      <w:bookmarkEnd w:id="66"/>
      <w:bookmarkEnd w:id="67"/>
      <w:bookmarkEnd w:id="68"/>
    </w:p>
    <w:p>
      <w:pPr>
        <w:spacing w:line="360" w:lineRule="auto"/>
        <w:rPr>
          <w:rFonts w:ascii="宋体" w:hAnsi="宋体"/>
          <w:sz w:val="24"/>
          <w:highlight w:val="none"/>
        </w:rPr>
      </w:pPr>
      <w:r>
        <w:rPr>
          <w:rFonts w:hint="eastAsia" w:ascii="宋体" w:hAnsi="宋体"/>
          <w:sz w:val="24"/>
          <w:highlight w:val="none"/>
        </w:rPr>
        <w:t>供应商名称：</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磋商编号：                           </w:t>
      </w:r>
    </w:p>
    <w:tbl>
      <w:tblPr>
        <w:tblStyle w:val="3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sz w:val="24"/>
                <w:highlight w:val="none"/>
              </w:rPr>
            </w:pPr>
            <w:r>
              <w:rPr>
                <w:rFonts w:ascii="宋体" w:hAnsi="宋体"/>
                <w:sz w:val="24"/>
                <w:highlight w:val="none"/>
              </w:rPr>
              <w:t>序 号</w:t>
            </w:r>
          </w:p>
        </w:tc>
        <w:tc>
          <w:tcPr>
            <w:tcW w:w="5558" w:type="dxa"/>
            <w:vAlign w:val="center"/>
          </w:tcPr>
          <w:p>
            <w:pPr>
              <w:spacing w:line="360" w:lineRule="auto"/>
              <w:jc w:val="center"/>
              <w:rPr>
                <w:rFonts w:ascii="宋体" w:hAnsi="宋体"/>
                <w:sz w:val="24"/>
                <w:highlight w:val="none"/>
              </w:rPr>
            </w:pPr>
            <w:r>
              <w:rPr>
                <w:rFonts w:ascii="宋体" w:hAnsi="宋体"/>
                <w:sz w:val="24"/>
                <w:highlight w:val="none"/>
              </w:rPr>
              <w:t>项目名称</w:t>
            </w:r>
          </w:p>
        </w:tc>
        <w:tc>
          <w:tcPr>
            <w:tcW w:w="1997" w:type="dxa"/>
            <w:vAlign w:val="center"/>
          </w:tcPr>
          <w:p>
            <w:pPr>
              <w:spacing w:line="360" w:lineRule="auto"/>
              <w:jc w:val="center"/>
              <w:rPr>
                <w:rFonts w:ascii="宋体" w:hAnsi="宋体"/>
                <w:sz w:val="24"/>
                <w:highlight w:val="none"/>
              </w:rPr>
            </w:pPr>
            <w:r>
              <w:rPr>
                <w:rFonts w:ascii="宋体" w:hAnsi="宋体"/>
                <w:sz w:val="24"/>
                <w:highlight w:val="none"/>
              </w:rPr>
              <w:t>总 价</w:t>
            </w:r>
          </w:p>
        </w:tc>
        <w:tc>
          <w:tcPr>
            <w:tcW w:w="5334" w:type="dxa"/>
            <w:vAlign w:val="center"/>
          </w:tcPr>
          <w:p>
            <w:pPr>
              <w:spacing w:line="360" w:lineRule="auto"/>
              <w:jc w:val="center"/>
              <w:rPr>
                <w:rFonts w:ascii="宋体" w:hAnsi="宋体"/>
                <w:sz w:val="24"/>
                <w:highlight w:val="none"/>
              </w:rPr>
            </w:pPr>
            <w:r>
              <w:rPr>
                <w:rFonts w:ascii="宋体" w:hAnsi="宋体"/>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highlight w:val="none"/>
              </w:rPr>
            </w:pPr>
          </w:p>
        </w:tc>
        <w:tc>
          <w:tcPr>
            <w:tcW w:w="5558" w:type="dxa"/>
            <w:vAlign w:val="center"/>
          </w:tcPr>
          <w:p>
            <w:pPr>
              <w:spacing w:line="360" w:lineRule="auto"/>
              <w:jc w:val="center"/>
              <w:rPr>
                <w:rFonts w:ascii="宋体" w:hAnsi="宋体"/>
                <w:sz w:val="28"/>
                <w:highlight w:val="none"/>
              </w:rPr>
            </w:pPr>
          </w:p>
        </w:tc>
        <w:tc>
          <w:tcPr>
            <w:tcW w:w="1997" w:type="dxa"/>
            <w:vAlign w:val="center"/>
          </w:tcPr>
          <w:p>
            <w:pPr>
              <w:spacing w:line="360" w:lineRule="auto"/>
              <w:jc w:val="center"/>
              <w:rPr>
                <w:rFonts w:ascii="宋体" w:hAnsi="宋体"/>
                <w:sz w:val="28"/>
                <w:highlight w:val="none"/>
              </w:rPr>
            </w:pPr>
          </w:p>
        </w:tc>
        <w:tc>
          <w:tcPr>
            <w:tcW w:w="5334" w:type="dxa"/>
            <w:vAlign w:val="center"/>
          </w:tcPr>
          <w:p>
            <w:pPr>
              <w:spacing w:line="360" w:lineRule="auto"/>
              <w:jc w:val="center"/>
              <w:rPr>
                <w:rFonts w:ascii="宋体" w:hAnsi="宋体"/>
                <w:sz w:val="28"/>
                <w:highlight w:val="none"/>
              </w:rPr>
            </w:pPr>
          </w:p>
        </w:tc>
      </w:tr>
    </w:tbl>
    <w:p>
      <w:pPr>
        <w:spacing w:line="360" w:lineRule="auto"/>
        <w:rPr>
          <w:rFonts w:ascii="宋体" w:hAnsi="宋体"/>
          <w:b/>
          <w:szCs w:val="21"/>
          <w:highlight w:val="none"/>
        </w:rPr>
      </w:pPr>
      <w:r>
        <w:rPr>
          <w:rFonts w:hint="eastAsia" w:ascii="宋体" w:hAnsi="宋体"/>
          <w:b/>
          <w:szCs w:val="21"/>
          <w:highlight w:val="none"/>
        </w:rPr>
        <w:t>注：此表应按“供应商须知”18</w:t>
      </w:r>
      <w:r>
        <w:rPr>
          <w:rFonts w:ascii="宋体" w:hAnsi="宋体"/>
          <w:b/>
          <w:szCs w:val="21"/>
          <w:highlight w:val="none"/>
        </w:rPr>
        <w:t>.2</w:t>
      </w:r>
      <w:r>
        <w:rPr>
          <w:rFonts w:hint="eastAsia" w:ascii="宋体" w:hAnsi="宋体"/>
          <w:b/>
          <w:szCs w:val="21"/>
          <w:highlight w:val="none"/>
        </w:rPr>
        <w:t>条的规定单独密封在一个信封中。且在磋商响应文件中也应附有此表。</w:t>
      </w:r>
    </w:p>
    <w:p>
      <w:pPr>
        <w:spacing w:line="360" w:lineRule="auto"/>
        <w:rPr>
          <w:rFonts w:ascii="宋体" w:hAnsi="宋体"/>
          <w:sz w:val="24"/>
          <w:highlight w:val="none"/>
        </w:rPr>
      </w:pPr>
      <w:r>
        <w:rPr>
          <w:rFonts w:hint="eastAsia" w:ascii="宋体" w:hAnsi="宋体"/>
          <w:sz w:val="24"/>
          <w:highlight w:val="none"/>
        </w:rPr>
        <w:t>供应商单位（公章）：</w:t>
      </w:r>
    </w:p>
    <w:p>
      <w:pPr>
        <w:spacing w:line="360" w:lineRule="auto"/>
        <w:rPr>
          <w:rFonts w:ascii="宋体" w:hAnsi="宋体"/>
          <w:sz w:val="24"/>
          <w:highlight w:val="none"/>
          <w:u w:val="single"/>
        </w:rPr>
      </w:pPr>
      <w:r>
        <w:rPr>
          <w:rFonts w:hint="eastAsia" w:ascii="宋体" w:hAnsi="宋体"/>
          <w:sz w:val="24"/>
          <w:highlight w:val="none"/>
        </w:rPr>
        <w:t>供应商代表（签字）：</w:t>
      </w:r>
    </w:p>
    <w:p>
      <w:pPr>
        <w:spacing w:line="360" w:lineRule="auto"/>
        <w:rPr>
          <w:rFonts w:ascii="宋体" w:hAnsi="宋体"/>
          <w:b/>
          <w:bCs/>
          <w:highlight w:val="none"/>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sz w:val="24"/>
          <w:highlight w:val="none"/>
        </w:rPr>
        <w:t>日期：</w:t>
      </w:r>
      <w:r>
        <w:rPr>
          <w:rFonts w:ascii="宋体" w:hAnsi="宋体"/>
          <w:sz w:val="28"/>
          <w:highlight w:val="none"/>
        </w:rPr>
        <w:t xml:space="preserve"> </w:t>
      </w:r>
      <w:r>
        <w:rPr>
          <w:rFonts w:hint="eastAsia" w:ascii="宋体" w:hAnsi="宋体"/>
          <w:sz w:val="28"/>
          <w:highlight w:val="none"/>
        </w:rPr>
        <w:t xml:space="preserve">    年     月     </w:t>
      </w:r>
    </w:p>
    <w:p>
      <w:pPr>
        <w:pStyle w:val="4"/>
        <w:jc w:val="center"/>
        <w:rPr>
          <w:rFonts w:ascii="黑体" w:hAnsi="黑体" w:cs="黑体"/>
          <w:sz w:val="24"/>
          <w:highlight w:val="none"/>
        </w:rPr>
      </w:pPr>
      <w:bookmarkStart w:id="69" w:name="_Toc27082252"/>
      <w:bookmarkStart w:id="70" w:name="_Toc12235"/>
      <w:r>
        <w:rPr>
          <w:rFonts w:hint="eastAsia" w:ascii="黑体" w:hAnsi="黑体" w:cs="黑体"/>
          <w:sz w:val="30"/>
          <w:szCs w:val="30"/>
          <w:highlight w:val="none"/>
        </w:rPr>
        <w:t>2.1报价明细表</w:t>
      </w:r>
    </w:p>
    <w:p>
      <w:pPr>
        <w:spacing w:line="400" w:lineRule="exact"/>
        <w:rPr>
          <w:rFonts w:ascii="黑体" w:hAnsi="黑体" w:eastAsia="黑体" w:cs="黑体"/>
          <w:sz w:val="24"/>
          <w:highlight w:val="none"/>
        </w:rPr>
      </w:pPr>
      <w:r>
        <w:rPr>
          <w:rFonts w:hint="eastAsia" w:ascii="黑体" w:hAnsi="黑体" w:eastAsia="黑体" w:cs="黑体"/>
          <w:sz w:val="24"/>
          <w:highlight w:val="none"/>
        </w:rPr>
        <w:t>供应商名称：</w:t>
      </w:r>
      <w:r>
        <w:rPr>
          <w:rFonts w:hint="eastAsia" w:ascii="黑体" w:hAnsi="黑体" w:eastAsia="黑体" w:cs="黑体"/>
          <w:sz w:val="24"/>
          <w:highlight w:val="none"/>
          <w:u w:val="single"/>
        </w:rPr>
        <w:t xml:space="preserve">             </w:t>
      </w:r>
    </w:p>
    <w:p>
      <w:pPr>
        <w:spacing w:line="400" w:lineRule="exact"/>
        <w:rPr>
          <w:rFonts w:ascii="黑体" w:hAnsi="黑体" w:eastAsia="黑体" w:cs="黑体"/>
          <w:sz w:val="24"/>
          <w:highlight w:val="none"/>
          <w:u w:val="single"/>
        </w:rPr>
      </w:pPr>
      <w:r>
        <w:rPr>
          <w:rFonts w:hint="eastAsia" w:ascii="黑体" w:hAnsi="黑体" w:eastAsia="黑体" w:cs="黑体"/>
          <w:sz w:val="24"/>
          <w:highlight w:val="none"/>
        </w:rPr>
        <w:t>磋商编号：</w:t>
      </w:r>
      <w:r>
        <w:rPr>
          <w:rFonts w:hint="eastAsia" w:ascii="黑体" w:hAnsi="黑体" w:eastAsia="黑体" w:cs="黑体"/>
          <w:sz w:val="24"/>
          <w:highlight w:val="none"/>
          <w:u w:val="single"/>
        </w:rPr>
        <w:t xml:space="preserve">               </w:t>
      </w:r>
    </w:p>
    <w:p>
      <w:pPr>
        <w:spacing w:line="440" w:lineRule="exact"/>
        <w:rPr>
          <w:rFonts w:ascii="黑体" w:hAnsi="黑体" w:eastAsia="黑体" w:cs="黑体"/>
          <w:sz w:val="24"/>
          <w:highlight w:val="none"/>
        </w:rPr>
      </w:pP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序号</w:t>
            </w: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名称</w:t>
            </w:r>
          </w:p>
        </w:tc>
        <w:tc>
          <w:tcPr>
            <w:tcW w:w="1062" w:type="pct"/>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数量</w:t>
            </w: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单价（元）</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总价（元）</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sz w:val="24"/>
                <w:highlight w:val="none"/>
              </w:rPr>
            </w:pPr>
          </w:p>
        </w:tc>
        <w:tc>
          <w:tcPr>
            <w:tcW w:w="1062" w:type="pct"/>
            <w:vAlign w:val="center"/>
          </w:tcPr>
          <w:p>
            <w:pPr>
              <w:spacing w:line="400" w:lineRule="exact"/>
              <w:jc w:val="center"/>
              <w:rPr>
                <w:rFonts w:ascii="黑体" w:hAnsi="黑体" w:eastAsia="黑体" w:cs="黑体"/>
                <w:b/>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683" w:type="pct"/>
            <w:gridSpan w:val="4"/>
            <w:tcBorders>
              <w:right w:val="single" w:color="auto" w:sz="4" w:space="0"/>
            </w:tcBorders>
            <w:vAlign w:val="center"/>
          </w:tcPr>
          <w:p>
            <w:pPr>
              <w:spacing w:line="400" w:lineRule="exact"/>
              <w:rPr>
                <w:rFonts w:ascii="黑体" w:hAnsi="黑体" w:eastAsia="黑体" w:cs="黑体"/>
                <w:b/>
                <w:sz w:val="24"/>
                <w:highlight w:val="none"/>
              </w:rPr>
            </w:pPr>
            <w:r>
              <w:rPr>
                <w:rFonts w:ascii="黑体" w:hAnsi="黑体" w:eastAsia="黑体" w:cs="黑体"/>
                <w:b/>
                <w:sz w:val="24"/>
                <w:highlight w:val="none"/>
              </w:rPr>
              <w:t>合     计：（大写）</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r>
              <w:rPr>
                <w:rFonts w:ascii="黑体" w:hAnsi="黑体" w:eastAsia="黑体" w:cs="黑体"/>
                <w:b/>
                <w:sz w:val="24"/>
                <w:highlight w:val="none"/>
              </w:rPr>
              <w:t>￥：（小写）</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sz w:val="24"/>
                <w:highlight w:val="none"/>
              </w:rPr>
            </w:pPr>
          </w:p>
        </w:tc>
      </w:tr>
    </w:tbl>
    <w:p>
      <w:pPr>
        <w:spacing w:line="500" w:lineRule="exact"/>
        <w:rPr>
          <w:rFonts w:ascii="黑体" w:hAnsi="黑体" w:eastAsia="黑体" w:cs="黑体"/>
          <w:sz w:val="24"/>
          <w:highlight w:val="none"/>
        </w:rPr>
      </w:pPr>
    </w:p>
    <w:p>
      <w:pPr>
        <w:spacing w:line="500" w:lineRule="exact"/>
        <w:rPr>
          <w:rFonts w:ascii="黑体" w:hAnsi="黑体" w:eastAsia="黑体" w:cs="黑体"/>
          <w:sz w:val="24"/>
          <w:szCs w:val="24"/>
          <w:highlight w:val="none"/>
        </w:rPr>
      </w:pPr>
      <w:r>
        <w:rPr>
          <w:rFonts w:hint="eastAsia" w:ascii="黑体" w:hAnsi="黑体" w:eastAsia="黑体" w:cs="黑体"/>
          <w:sz w:val="24"/>
          <w:highlight w:val="none"/>
        </w:rPr>
        <w:t>供应商代表签字或签章</w:t>
      </w:r>
      <w:r>
        <w:rPr>
          <w:rFonts w:hint="eastAsia" w:ascii="黑体" w:hAnsi="黑体" w:eastAsia="黑体" w:cs="黑体"/>
          <w:sz w:val="24"/>
          <w:szCs w:val="24"/>
          <w:highlight w:val="none"/>
        </w:rPr>
        <w:t>：________________</w:t>
      </w:r>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7"/>
        <w:ind w:firstLine="210"/>
        <w:rPr>
          <w:highlight w:val="none"/>
        </w:rPr>
      </w:pPr>
    </w:p>
    <w:p>
      <w:pPr>
        <w:spacing w:line="440" w:lineRule="exact"/>
        <w:rPr>
          <w:rFonts w:ascii="黑体" w:hAnsi="黑体" w:eastAsia="黑体" w:cs="黑体"/>
          <w:b/>
          <w:sz w:val="24"/>
          <w:highlight w:val="none"/>
        </w:rPr>
      </w:pPr>
      <w:r>
        <w:rPr>
          <w:rFonts w:hint="eastAsia" w:ascii="黑体" w:hAnsi="黑体" w:eastAsia="黑体" w:cs="黑体"/>
          <w:b/>
          <w:sz w:val="24"/>
          <w:highlight w:val="none"/>
        </w:rPr>
        <w:t>注：小、微企业产品在备注栏中注明，否则产生的一切后果由供应商承担。</w:t>
      </w:r>
    </w:p>
    <w:p>
      <w:pPr>
        <w:spacing w:line="432" w:lineRule="auto"/>
        <w:rPr>
          <w:rFonts w:ascii="黑体" w:hAnsi="黑体" w:eastAsia="黑体" w:cs="黑体"/>
          <w:sz w:val="28"/>
          <w:highlight w:val="none"/>
        </w:rPr>
        <w:sectPr>
          <w:pgSz w:w="11907" w:h="16840"/>
          <w:pgMar w:top="1474" w:right="1134" w:bottom="1474" w:left="1134" w:header="720" w:footer="720" w:gutter="0"/>
          <w:cols w:space="720" w:num="1"/>
          <w:docGrid w:linePitch="286" w:charSpace="0"/>
        </w:sectPr>
      </w:pPr>
    </w:p>
    <w:p>
      <w:pPr>
        <w:pStyle w:val="3"/>
        <w:spacing w:line="360" w:lineRule="auto"/>
        <w:jc w:val="center"/>
        <w:rPr>
          <w:highlight w:val="none"/>
        </w:rPr>
      </w:pPr>
      <w:r>
        <w:rPr>
          <w:rFonts w:hint="eastAsia"/>
          <w:highlight w:val="none"/>
        </w:rPr>
        <w:t>3. 技术（参数）响应/偏离表</w:t>
      </w:r>
      <w:bookmarkEnd w:id="69"/>
      <w:bookmarkEnd w:id="70"/>
    </w:p>
    <w:p>
      <w:pPr>
        <w:spacing w:line="360" w:lineRule="auto"/>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磋商编号：</w:t>
      </w:r>
      <w:r>
        <w:rPr>
          <w:rFonts w:hint="eastAsia" w:ascii="宋体" w:hAnsi="宋体"/>
          <w:sz w:val="24"/>
          <w:highlight w:val="none"/>
          <w:u w:val="singl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sz w:val="24"/>
                <w:highlight w:val="none"/>
              </w:rPr>
            </w:pPr>
            <w:r>
              <w:rPr>
                <w:rFonts w:ascii="宋体" w:hAnsi="宋体"/>
                <w:sz w:val="24"/>
                <w:highlight w:val="none"/>
              </w:rPr>
              <w:t>序号</w:t>
            </w:r>
          </w:p>
        </w:tc>
        <w:tc>
          <w:tcPr>
            <w:tcW w:w="2246" w:type="dxa"/>
            <w:vAlign w:val="center"/>
          </w:tcPr>
          <w:p>
            <w:pPr>
              <w:spacing w:line="360" w:lineRule="auto"/>
              <w:jc w:val="center"/>
              <w:rPr>
                <w:rFonts w:ascii="宋体" w:hAnsi="宋体"/>
                <w:sz w:val="24"/>
                <w:highlight w:val="none"/>
              </w:rPr>
            </w:pPr>
            <w:r>
              <w:rPr>
                <w:rFonts w:ascii="宋体" w:hAnsi="宋体"/>
                <w:sz w:val="24"/>
                <w:highlight w:val="none"/>
              </w:rPr>
              <w:t>磋商文件要求</w:t>
            </w:r>
          </w:p>
        </w:tc>
        <w:tc>
          <w:tcPr>
            <w:tcW w:w="2246" w:type="dxa"/>
            <w:vAlign w:val="center"/>
          </w:tcPr>
          <w:p>
            <w:pPr>
              <w:spacing w:line="360" w:lineRule="auto"/>
              <w:jc w:val="center"/>
              <w:rPr>
                <w:rFonts w:ascii="宋体" w:hAnsi="宋体"/>
                <w:sz w:val="24"/>
                <w:highlight w:val="none"/>
              </w:rPr>
            </w:pPr>
            <w:r>
              <w:rPr>
                <w:rFonts w:ascii="宋体" w:hAnsi="宋体"/>
                <w:sz w:val="24"/>
                <w:highlight w:val="none"/>
              </w:rPr>
              <w:t>磋商响应文件要求</w:t>
            </w:r>
          </w:p>
        </w:tc>
        <w:tc>
          <w:tcPr>
            <w:tcW w:w="1531" w:type="dxa"/>
            <w:vAlign w:val="center"/>
          </w:tcPr>
          <w:p>
            <w:pPr>
              <w:spacing w:line="360" w:lineRule="auto"/>
              <w:jc w:val="center"/>
              <w:rPr>
                <w:rFonts w:ascii="宋体" w:hAnsi="宋体"/>
                <w:sz w:val="24"/>
                <w:highlight w:val="none"/>
              </w:rPr>
            </w:pPr>
            <w:r>
              <w:rPr>
                <w:rFonts w:ascii="宋体" w:hAnsi="宋体"/>
                <w:sz w:val="24"/>
                <w:highlight w:val="none"/>
              </w:rPr>
              <w:t>响应/偏离</w:t>
            </w:r>
          </w:p>
        </w:tc>
        <w:tc>
          <w:tcPr>
            <w:tcW w:w="2032" w:type="dxa"/>
            <w:vAlign w:val="center"/>
          </w:tcPr>
          <w:p>
            <w:pPr>
              <w:spacing w:line="360" w:lineRule="auto"/>
              <w:jc w:val="center"/>
              <w:rPr>
                <w:rFonts w:ascii="宋体" w:hAnsi="宋体"/>
                <w:sz w:val="24"/>
                <w:highlight w:val="none"/>
              </w:rPr>
            </w:pPr>
            <w:r>
              <w:rPr>
                <w:rFonts w:ascii="宋体" w:hAnsi="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2246" w:type="dxa"/>
          </w:tcPr>
          <w:p>
            <w:pPr>
              <w:spacing w:line="360" w:lineRule="auto"/>
              <w:rPr>
                <w:rFonts w:ascii="宋体" w:hAnsi="宋体"/>
                <w:sz w:val="24"/>
                <w:highlight w:val="none"/>
              </w:rPr>
            </w:pPr>
          </w:p>
        </w:tc>
        <w:tc>
          <w:tcPr>
            <w:tcW w:w="1531" w:type="dxa"/>
          </w:tcPr>
          <w:p>
            <w:pPr>
              <w:spacing w:line="360" w:lineRule="auto"/>
              <w:rPr>
                <w:rFonts w:ascii="宋体" w:hAnsi="宋体"/>
                <w:sz w:val="24"/>
                <w:highlight w:val="none"/>
              </w:rPr>
            </w:pPr>
          </w:p>
        </w:tc>
        <w:tc>
          <w:tcPr>
            <w:tcW w:w="2032" w:type="dxa"/>
          </w:tcPr>
          <w:p>
            <w:pPr>
              <w:spacing w:line="360" w:lineRule="auto"/>
              <w:rPr>
                <w:rFonts w:ascii="宋体" w:hAnsi="宋体"/>
                <w:sz w:val="24"/>
                <w:highlight w:val="none"/>
              </w:rPr>
            </w:pPr>
          </w:p>
        </w:tc>
      </w:tr>
    </w:tbl>
    <w:p>
      <w:pPr>
        <w:spacing w:line="360" w:lineRule="auto"/>
        <w:rPr>
          <w:rFonts w:ascii="宋体" w:hAnsi="宋体"/>
          <w:b/>
          <w:szCs w:val="21"/>
          <w:highlight w:val="none"/>
        </w:rPr>
      </w:pPr>
      <w:r>
        <w:rPr>
          <w:rFonts w:hint="eastAsia" w:ascii="宋体" w:hAnsi="宋体"/>
          <w:b/>
          <w:szCs w:val="21"/>
          <w:highlight w:val="none"/>
        </w:rPr>
        <w:t>注：响应/偏离内容应在说明栏中说明该条款在磋商响应文件中（或页码）的依据。</w:t>
      </w:r>
    </w:p>
    <w:p>
      <w:pPr>
        <w:spacing w:line="360" w:lineRule="auto"/>
        <w:rPr>
          <w:rFonts w:ascii="宋体" w:hAnsi="宋体"/>
          <w:b/>
          <w:sz w:val="24"/>
          <w:highlight w:val="none"/>
        </w:rPr>
      </w:pPr>
    </w:p>
    <w:p>
      <w:pPr>
        <w:spacing w:line="360" w:lineRule="auto"/>
        <w:rPr>
          <w:rFonts w:ascii="宋体" w:hAnsi="宋体"/>
          <w:sz w:val="24"/>
          <w:highlight w:val="none"/>
          <w:u w:val="single"/>
        </w:rPr>
      </w:pPr>
      <w:r>
        <w:rPr>
          <w:rFonts w:hint="eastAsia" w:ascii="宋体" w:hAnsi="宋体"/>
          <w:sz w:val="24"/>
          <w:highlight w:val="none"/>
        </w:rPr>
        <w:t>供应商代表签字：</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
        <w:spacing w:line="360" w:lineRule="auto"/>
        <w:jc w:val="center"/>
        <w:rPr>
          <w:rFonts w:ascii="宋体" w:hAnsi="宋体"/>
          <w:highlight w:val="none"/>
        </w:rPr>
      </w:pPr>
      <w:r>
        <w:rPr>
          <w:rFonts w:ascii="宋体" w:hAnsi="宋体"/>
          <w:sz w:val="24"/>
          <w:highlight w:val="none"/>
        </w:rPr>
        <w:br w:type="page"/>
      </w:r>
      <w:bookmarkStart w:id="71" w:name="_Toc516734876"/>
      <w:bookmarkStart w:id="72" w:name="_Toc31367"/>
      <w:bookmarkStart w:id="73" w:name="_Toc518573427"/>
      <w:bookmarkStart w:id="74" w:name="_Toc520958265"/>
      <w:bookmarkStart w:id="75" w:name="_Toc27082253"/>
      <w:r>
        <w:rPr>
          <w:rFonts w:hint="eastAsia" w:ascii="宋体" w:hAnsi="宋体"/>
          <w:highlight w:val="none"/>
        </w:rPr>
        <w:t>4</w:t>
      </w:r>
      <w:r>
        <w:rPr>
          <w:rFonts w:ascii="宋体" w:hAnsi="宋体"/>
          <w:highlight w:val="none"/>
        </w:rPr>
        <w:t>.</w:t>
      </w:r>
      <w:r>
        <w:rPr>
          <w:rFonts w:hint="eastAsia" w:ascii="宋体" w:hAnsi="宋体"/>
          <w:highlight w:val="none"/>
        </w:rPr>
        <w:t xml:space="preserve"> 商务条款响应/偏离表</w:t>
      </w:r>
      <w:bookmarkEnd w:id="71"/>
      <w:bookmarkEnd w:id="72"/>
      <w:bookmarkEnd w:id="73"/>
      <w:bookmarkEnd w:id="74"/>
      <w:bookmarkEnd w:id="75"/>
    </w:p>
    <w:p>
      <w:pPr>
        <w:spacing w:line="360" w:lineRule="auto"/>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磋商编号：</w:t>
      </w:r>
      <w:r>
        <w:rPr>
          <w:rFonts w:hint="eastAsia" w:ascii="宋体" w:hAnsi="宋体"/>
          <w:sz w:val="24"/>
          <w:highlight w:val="none"/>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3" w:type="dxa"/>
            <w:vAlign w:val="center"/>
          </w:tcPr>
          <w:p>
            <w:pPr>
              <w:spacing w:line="360" w:lineRule="auto"/>
              <w:jc w:val="center"/>
              <w:rPr>
                <w:rFonts w:ascii="宋体" w:hAnsi="宋体"/>
                <w:sz w:val="24"/>
                <w:highlight w:val="none"/>
              </w:rPr>
            </w:pPr>
            <w:r>
              <w:rPr>
                <w:rFonts w:ascii="宋体" w:hAnsi="宋体"/>
                <w:sz w:val="24"/>
                <w:highlight w:val="none"/>
              </w:rPr>
              <w:t>序号</w:t>
            </w:r>
          </w:p>
        </w:tc>
        <w:tc>
          <w:tcPr>
            <w:tcW w:w="2993" w:type="dxa"/>
            <w:vAlign w:val="center"/>
          </w:tcPr>
          <w:p>
            <w:pPr>
              <w:spacing w:line="360" w:lineRule="auto"/>
              <w:jc w:val="center"/>
              <w:rPr>
                <w:rFonts w:ascii="宋体" w:hAnsi="宋体"/>
                <w:sz w:val="24"/>
                <w:highlight w:val="none"/>
              </w:rPr>
            </w:pPr>
            <w:r>
              <w:rPr>
                <w:rFonts w:ascii="宋体" w:hAnsi="宋体"/>
                <w:sz w:val="24"/>
                <w:highlight w:val="none"/>
              </w:rPr>
              <w:t>磋商文件的商务条款</w:t>
            </w:r>
          </w:p>
        </w:tc>
        <w:tc>
          <w:tcPr>
            <w:tcW w:w="2993" w:type="dxa"/>
            <w:vAlign w:val="center"/>
          </w:tcPr>
          <w:p>
            <w:pPr>
              <w:spacing w:line="360" w:lineRule="auto"/>
              <w:jc w:val="center"/>
              <w:rPr>
                <w:rFonts w:ascii="宋体" w:hAnsi="宋体"/>
                <w:sz w:val="24"/>
                <w:highlight w:val="none"/>
              </w:rPr>
            </w:pPr>
            <w:r>
              <w:rPr>
                <w:rFonts w:ascii="宋体" w:hAnsi="宋体"/>
                <w:sz w:val="24"/>
                <w:highlight w:val="none"/>
              </w:rPr>
              <w:t>磋商响应文件的</w:t>
            </w:r>
          </w:p>
          <w:p>
            <w:pPr>
              <w:spacing w:line="360" w:lineRule="auto"/>
              <w:jc w:val="center"/>
              <w:rPr>
                <w:rFonts w:ascii="宋体" w:hAnsi="宋体"/>
                <w:sz w:val="24"/>
                <w:highlight w:val="none"/>
              </w:rPr>
            </w:pPr>
            <w:r>
              <w:rPr>
                <w:rFonts w:ascii="宋体" w:hAnsi="宋体"/>
                <w:sz w:val="24"/>
                <w:highlight w:val="none"/>
              </w:rPr>
              <w:t>商务条款</w:t>
            </w:r>
          </w:p>
        </w:tc>
        <w:tc>
          <w:tcPr>
            <w:tcW w:w="1187" w:type="dxa"/>
            <w:vAlign w:val="center"/>
          </w:tcPr>
          <w:p>
            <w:pPr>
              <w:spacing w:line="360" w:lineRule="auto"/>
              <w:jc w:val="center"/>
              <w:rPr>
                <w:rFonts w:ascii="宋体" w:hAnsi="宋体"/>
                <w:sz w:val="24"/>
                <w:highlight w:val="none"/>
              </w:rPr>
            </w:pPr>
            <w:r>
              <w:rPr>
                <w:rFonts w:ascii="宋体" w:hAnsi="宋体"/>
                <w:sz w:val="24"/>
                <w:highlight w:val="none"/>
              </w:rPr>
              <w:t>响应/偏离</w:t>
            </w:r>
          </w:p>
        </w:tc>
        <w:tc>
          <w:tcPr>
            <w:tcW w:w="1096" w:type="dxa"/>
            <w:vAlign w:val="center"/>
          </w:tcPr>
          <w:p>
            <w:pPr>
              <w:spacing w:line="360" w:lineRule="auto"/>
              <w:jc w:val="center"/>
              <w:rPr>
                <w:rFonts w:ascii="宋体" w:hAnsi="宋体"/>
                <w:sz w:val="24"/>
                <w:highlight w:val="none"/>
              </w:rPr>
            </w:pPr>
            <w:r>
              <w:rPr>
                <w:rFonts w:ascii="宋体" w:hAnsi="宋体"/>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6"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2993" w:type="dxa"/>
          </w:tcPr>
          <w:p>
            <w:pPr>
              <w:spacing w:line="360" w:lineRule="auto"/>
              <w:rPr>
                <w:rFonts w:ascii="宋体" w:hAnsi="宋体"/>
                <w:sz w:val="24"/>
                <w:highlight w:val="none"/>
              </w:rPr>
            </w:pPr>
          </w:p>
        </w:tc>
        <w:tc>
          <w:tcPr>
            <w:tcW w:w="1187" w:type="dxa"/>
          </w:tcPr>
          <w:p>
            <w:pPr>
              <w:spacing w:line="360" w:lineRule="auto"/>
              <w:rPr>
                <w:rFonts w:ascii="宋体" w:hAnsi="宋体"/>
                <w:sz w:val="24"/>
                <w:highlight w:val="none"/>
              </w:rPr>
            </w:pPr>
          </w:p>
        </w:tc>
        <w:tc>
          <w:tcPr>
            <w:tcW w:w="1096" w:type="dxa"/>
          </w:tcPr>
          <w:p>
            <w:pPr>
              <w:spacing w:line="360" w:lineRule="auto"/>
              <w:rPr>
                <w:rFonts w:ascii="宋体" w:hAnsi="宋体"/>
                <w:sz w:val="24"/>
                <w:highlight w:val="none"/>
              </w:rPr>
            </w:pPr>
          </w:p>
        </w:tc>
      </w:tr>
    </w:tbl>
    <w:p>
      <w:pPr>
        <w:spacing w:line="360" w:lineRule="auto"/>
        <w:rPr>
          <w:rFonts w:ascii="宋体" w:hAnsi="宋体"/>
          <w:b/>
          <w:sz w:val="24"/>
          <w:highlight w:val="none"/>
        </w:rPr>
      </w:pPr>
      <w:r>
        <w:rPr>
          <w:rFonts w:hint="eastAsia" w:ascii="宋体" w:hAnsi="宋体"/>
          <w:b/>
          <w:szCs w:val="21"/>
          <w:highlight w:val="none"/>
        </w:rPr>
        <w:t>注：商务条款包括建设周期、付款方式、服务（交付）地点、货物采购要求、售后服务要求等内容。</w:t>
      </w:r>
    </w:p>
    <w:p>
      <w:pPr>
        <w:spacing w:line="360" w:lineRule="auto"/>
        <w:rPr>
          <w:rFonts w:ascii="宋体" w:hAnsi="宋体"/>
          <w:highlight w:val="none"/>
        </w:rPr>
      </w:pPr>
      <w:r>
        <w:rPr>
          <w:rFonts w:hint="eastAsia" w:ascii="宋体" w:hAnsi="宋体"/>
          <w:sz w:val="24"/>
          <w:highlight w:val="none"/>
        </w:rPr>
        <w:t>供应商代表（签字）：</w:t>
      </w:r>
      <w:r>
        <w:rPr>
          <w:rFonts w:hint="eastAsia" w:ascii="宋体" w:hAnsi="宋体"/>
          <w:sz w:val="24"/>
          <w:highlight w:val="none"/>
          <w:u w:val="single"/>
        </w:rPr>
        <w:t xml:space="preserve">                       </w:t>
      </w:r>
      <w:bookmarkStart w:id="76" w:name="_Toc520958266"/>
      <w:bookmarkStart w:id="77" w:name="_Toc27082254"/>
      <w:bookmarkStart w:id="78" w:name="_Toc518573428"/>
      <w:bookmarkStart w:id="79" w:name="_Toc516734877"/>
    </w:p>
    <w:p>
      <w:pPr>
        <w:spacing w:line="360" w:lineRule="auto"/>
        <w:rPr>
          <w:rFonts w:ascii="宋体" w:hAnsi="宋体"/>
          <w:sz w:val="24"/>
          <w:highlight w:val="none"/>
        </w:rPr>
      </w:pPr>
      <w:r>
        <w:rPr>
          <w:rFonts w:hint="eastAsia" w:ascii="宋体" w:hAnsi="宋体"/>
          <w:sz w:val="24"/>
          <w:highlight w:val="none"/>
        </w:rPr>
        <w:t>供应商单位（公章）：</w:t>
      </w:r>
      <w:r>
        <w:rPr>
          <w:rFonts w:hint="eastAsia" w:ascii="黑体" w:hAnsi="黑体" w:eastAsia="黑体" w:cs="黑体"/>
          <w:sz w:val="24"/>
          <w:szCs w:val="24"/>
          <w:highlight w:val="none"/>
        </w:rPr>
        <w:t>________________</w:t>
      </w:r>
    </w:p>
    <w:p>
      <w:pPr>
        <w:pStyle w:val="37"/>
        <w:ind w:firstLine="210"/>
        <w:rPr>
          <w:highlight w:val="none"/>
        </w:rPr>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3"/>
        <w:spacing w:line="360" w:lineRule="auto"/>
        <w:jc w:val="center"/>
        <w:rPr>
          <w:rFonts w:ascii="宋体" w:hAnsi="宋体"/>
          <w:highlight w:val="none"/>
        </w:rPr>
      </w:pPr>
      <w:bookmarkStart w:id="80" w:name="_Toc11764"/>
      <w:r>
        <w:rPr>
          <w:rFonts w:hint="eastAsia" w:ascii="宋体" w:hAnsi="宋体"/>
          <w:highlight w:val="none"/>
        </w:rPr>
        <w:t>5</w:t>
      </w:r>
      <w:r>
        <w:rPr>
          <w:rFonts w:ascii="宋体" w:hAnsi="宋体"/>
          <w:highlight w:val="none"/>
        </w:rPr>
        <w:t>.</w:t>
      </w:r>
      <w:r>
        <w:rPr>
          <w:rFonts w:hint="eastAsia" w:ascii="宋体" w:hAnsi="宋体"/>
          <w:highlight w:val="none"/>
        </w:rPr>
        <w:t xml:space="preserve"> 技术（服务）文件</w:t>
      </w:r>
      <w:bookmarkEnd w:id="76"/>
      <w:bookmarkEnd w:id="77"/>
      <w:bookmarkEnd w:id="78"/>
      <w:bookmarkEnd w:id="79"/>
      <w:bookmarkEnd w:id="80"/>
    </w:p>
    <w:p>
      <w:pPr>
        <w:spacing w:line="360" w:lineRule="auto"/>
        <w:rPr>
          <w:rFonts w:ascii="宋体" w:hAnsi="宋体"/>
          <w:highlight w:val="none"/>
        </w:rPr>
      </w:pPr>
    </w:p>
    <w:p>
      <w:pPr>
        <w:spacing w:line="360" w:lineRule="auto"/>
        <w:rPr>
          <w:rFonts w:ascii="宋体" w:hAnsi="宋体"/>
          <w:sz w:val="24"/>
          <w:highlight w:val="none"/>
        </w:rPr>
      </w:pPr>
      <w:r>
        <w:rPr>
          <w:rFonts w:hint="eastAsia" w:ascii="宋体" w:hAnsi="宋体"/>
          <w:sz w:val="24"/>
          <w:highlight w:val="none"/>
        </w:rPr>
        <w:t>内容包括：</w:t>
      </w:r>
    </w:p>
    <w:p>
      <w:pPr>
        <w:spacing w:line="360" w:lineRule="auto"/>
        <w:ind w:left="480"/>
        <w:rPr>
          <w:rFonts w:ascii="宋体" w:hAnsi="宋体"/>
          <w:sz w:val="24"/>
          <w:highlight w:val="none"/>
        </w:rPr>
      </w:pPr>
      <w:bookmarkStart w:id="81" w:name="_Toc286760785"/>
      <w:bookmarkStart w:id="82" w:name="_Toc518573429"/>
      <w:bookmarkStart w:id="83" w:name="_Toc516734878"/>
      <w:bookmarkStart w:id="84" w:name="_Toc520958267"/>
      <w:bookmarkStart w:id="85" w:name="_Toc27082255"/>
      <w:r>
        <w:rPr>
          <w:rFonts w:hint="eastAsia" w:ascii="宋体" w:hAnsi="宋体"/>
          <w:sz w:val="24"/>
          <w:highlight w:val="none"/>
        </w:rPr>
        <w:t>1、评审标准中技术分中技术方案。</w:t>
      </w:r>
    </w:p>
    <w:p>
      <w:pPr>
        <w:spacing w:line="360" w:lineRule="auto"/>
        <w:ind w:left="480"/>
        <w:rPr>
          <w:rFonts w:ascii="宋体" w:hAnsi="宋体"/>
          <w:sz w:val="24"/>
          <w:highlight w:val="none"/>
        </w:rPr>
      </w:pPr>
      <w:r>
        <w:rPr>
          <w:rFonts w:hint="eastAsia" w:ascii="宋体" w:hAnsi="宋体"/>
          <w:sz w:val="24"/>
          <w:highlight w:val="none"/>
        </w:rPr>
        <w:t>2、供应商认为需要说明的其他内容（供应商视需要自行编写）</w:t>
      </w:r>
    </w:p>
    <w:p>
      <w:pPr>
        <w:pStyle w:val="3"/>
        <w:spacing w:before="0" w:after="0" w:line="360" w:lineRule="auto"/>
        <w:jc w:val="center"/>
        <w:rPr>
          <w:rFonts w:ascii="宋体" w:hAnsi="宋体" w:eastAsia="宋体"/>
          <w:highlight w:val="none"/>
        </w:rPr>
        <w:sectPr>
          <w:pgSz w:w="11906" w:h="16838"/>
          <w:pgMar w:top="1418" w:right="1418" w:bottom="1418" w:left="1418" w:header="851" w:footer="992" w:gutter="0"/>
          <w:cols w:space="720" w:num="1"/>
          <w:docGrid w:type="lines" w:linePitch="482" w:charSpace="0"/>
        </w:sectPr>
      </w:pPr>
    </w:p>
    <w:bookmarkEnd w:id="81"/>
    <w:bookmarkEnd w:id="82"/>
    <w:bookmarkEnd w:id="83"/>
    <w:bookmarkEnd w:id="84"/>
    <w:bookmarkEnd w:id="85"/>
    <w:p>
      <w:pPr>
        <w:pStyle w:val="3"/>
        <w:jc w:val="center"/>
        <w:rPr>
          <w:rFonts w:ascii="宋体" w:hAnsi="宋体"/>
          <w:sz w:val="24"/>
          <w:highlight w:val="none"/>
        </w:rPr>
      </w:pPr>
      <w:bookmarkStart w:id="86" w:name="_Toc32662"/>
      <w:bookmarkStart w:id="87" w:name="_Toc9094"/>
      <w:bookmarkStart w:id="88" w:name="_Toc286760792"/>
      <w:r>
        <w:rPr>
          <w:rFonts w:hint="eastAsia" w:ascii="宋体" w:hAnsi="宋体" w:eastAsia="宋体"/>
          <w:highlight w:val="none"/>
        </w:rPr>
        <w:t>6．资格证明文件</w:t>
      </w:r>
      <w:bookmarkEnd w:id="86"/>
    </w:p>
    <w:p>
      <w:pPr>
        <w:spacing w:line="432" w:lineRule="auto"/>
        <w:rPr>
          <w:rFonts w:ascii="黑体" w:hAnsi="黑体" w:eastAsia="黑体" w:cs="黑体"/>
          <w:sz w:val="24"/>
          <w:highlight w:val="none"/>
        </w:rPr>
      </w:pPr>
      <w:r>
        <w:rPr>
          <w:rFonts w:hint="eastAsia" w:ascii="黑体" w:hAnsi="黑体" w:eastAsia="黑体" w:cs="黑体"/>
          <w:sz w:val="24"/>
          <w:highlight w:val="none"/>
        </w:rPr>
        <w:t>填写须知</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供应商应填写和提交下述规定的资格证明文件。扫描件均须加盖公章。</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所附格式中要求填写的全部内容都必须如实填写。</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本资格声明的签字人应保证全部声明和填写的内容是真实的和正确的。</w:t>
      </w:r>
    </w:p>
    <w:p>
      <w:pPr>
        <w:numPr>
          <w:ilvl w:val="0"/>
          <w:numId w:val="6"/>
        </w:numPr>
        <w:spacing w:line="432" w:lineRule="auto"/>
        <w:rPr>
          <w:rFonts w:ascii="黑体" w:hAnsi="黑体" w:eastAsia="黑体" w:cs="黑体"/>
          <w:sz w:val="24"/>
          <w:szCs w:val="22"/>
          <w:highlight w:val="none"/>
        </w:rPr>
      </w:pPr>
      <w:r>
        <w:rPr>
          <w:rFonts w:hint="eastAsia" w:ascii="黑体" w:hAnsi="黑体" w:eastAsia="黑体" w:cs="黑体"/>
          <w:sz w:val="24"/>
          <w:szCs w:val="22"/>
          <w:highlight w:val="none"/>
        </w:rPr>
        <w:t>评标委员会将应用供应商提交的资料，根据自己的判断和考虑决定供应商履行合同的合格性及能力。</w:t>
      </w:r>
    </w:p>
    <w:p>
      <w:pPr>
        <w:spacing w:line="432" w:lineRule="auto"/>
        <w:rPr>
          <w:rFonts w:ascii="黑体" w:hAnsi="黑体" w:eastAsia="黑体" w:cs="黑体"/>
          <w:sz w:val="24"/>
          <w:highlight w:val="none"/>
        </w:rPr>
      </w:pPr>
      <w:r>
        <w:rPr>
          <w:rFonts w:hint="eastAsia" w:ascii="黑体" w:hAnsi="黑体" w:eastAsia="黑体" w:cs="黑体"/>
          <w:sz w:val="24"/>
          <w:highlight w:val="none"/>
        </w:rPr>
        <w:t>6-1.具有独立承担民事责任的能力的资格证明文件；</w:t>
      </w:r>
    </w:p>
    <w:p>
      <w:pPr>
        <w:spacing w:line="432" w:lineRule="auto"/>
        <w:rPr>
          <w:rFonts w:ascii="黑体" w:hAnsi="黑体" w:eastAsia="黑体" w:cs="黑体"/>
          <w:sz w:val="24"/>
          <w:highlight w:val="none"/>
        </w:rPr>
      </w:pPr>
      <w:r>
        <w:rPr>
          <w:rFonts w:hint="eastAsia" w:ascii="黑体" w:hAnsi="黑体" w:eastAsia="黑体" w:cs="黑体"/>
          <w:sz w:val="24"/>
          <w:highlight w:val="none"/>
        </w:rPr>
        <w:t>1）、如投标供应商是企业的（包括合伙企业）应提供有效的“企业法人营业执照”或“营业执照”；</w:t>
      </w:r>
    </w:p>
    <w:p>
      <w:pPr>
        <w:spacing w:line="432" w:lineRule="auto"/>
        <w:rPr>
          <w:rFonts w:ascii="黑体" w:hAnsi="黑体" w:eastAsia="黑体" w:cs="黑体"/>
          <w:sz w:val="24"/>
          <w:highlight w:val="none"/>
        </w:rPr>
      </w:pPr>
      <w:r>
        <w:rPr>
          <w:rFonts w:hint="eastAsia" w:ascii="黑体" w:hAnsi="黑体" w:eastAsia="黑体" w:cs="黑体"/>
          <w:sz w:val="24"/>
          <w:highlight w:val="none"/>
        </w:rPr>
        <w:t>2）、如投标供应商是事业单位的应提供“事业单位法人证书”；</w:t>
      </w:r>
    </w:p>
    <w:p>
      <w:pPr>
        <w:spacing w:line="432" w:lineRule="auto"/>
        <w:rPr>
          <w:rFonts w:ascii="黑体" w:hAnsi="黑体" w:eastAsia="黑体" w:cs="黑体"/>
          <w:sz w:val="24"/>
          <w:highlight w:val="none"/>
        </w:rPr>
      </w:pPr>
      <w:r>
        <w:rPr>
          <w:rFonts w:hint="eastAsia" w:ascii="黑体" w:hAnsi="黑体" w:eastAsia="黑体" w:cs="黑体"/>
          <w:sz w:val="24"/>
          <w:highlight w:val="none"/>
        </w:rPr>
        <w:t>3）、如投标供应商是非企业专业服务机构的应提供执业许可证等证明文件；</w:t>
      </w:r>
    </w:p>
    <w:p>
      <w:pPr>
        <w:spacing w:line="432" w:lineRule="auto"/>
        <w:rPr>
          <w:rFonts w:ascii="黑体" w:hAnsi="黑体" w:eastAsia="黑体" w:cs="黑体"/>
          <w:sz w:val="24"/>
          <w:highlight w:val="none"/>
        </w:rPr>
      </w:pPr>
      <w:r>
        <w:rPr>
          <w:rFonts w:hint="eastAsia" w:ascii="黑体" w:hAnsi="黑体" w:eastAsia="黑体" w:cs="黑体"/>
          <w:sz w:val="24"/>
          <w:highlight w:val="none"/>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sz w:val="24"/>
          <w:highlight w:val="none"/>
        </w:rPr>
      </w:pPr>
      <w:r>
        <w:rPr>
          <w:rFonts w:hint="eastAsia" w:ascii="黑体" w:hAnsi="黑体" w:eastAsia="黑体" w:cs="黑体"/>
          <w:sz w:val="24"/>
          <w:highlight w:val="none"/>
        </w:rPr>
        <w:t>5）、如投标供应商是自然人的，应提供有效的自然人的身份证明(中国公民)。 </w:t>
      </w:r>
    </w:p>
    <w:p>
      <w:pPr>
        <w:spacing w:line="432" w:lineRule="auto"/>
        <w:rPr>
          <w:rFonts w:ascii="黑体" w:hAnsi="黑体" w:eastAsia="黑体" w:cs="黑体"/>
          <w:sz w:val="24"/>
          <w:highlight w:val="none"/>
        </w:rPr>
      </w:pPr>
      <w:r>
        <w:rPr>
          <w:rFonts w:hint="eastAsia" w:ascii="黑体" w:hAnsi="黑体" w:eastAsia="黑体" w:cs="黑体"/>
          <w:sz w:val="24"/>
          <w:highlight w:val="none"/>
        </w:rPr>
        <w:t>6-2.具有良好的商业信誉和健全的财务会计制度的证明文件（提供承诺书，格式自拟）</w:t>
      </w:r>
    </w:p>
    <w:p>
      <w:pPr>
        <w:spacing w:line="432" w:lineRule="auto"/>
        <w:rPr>
          <w:rFonts w:ascii="黑体" w:hAnsi="黑体" w:eastAsia="黑体" w:cs="黑体"/>
          <w:sz w:val="24"/>
          <w:highlight w:val="none"/>
        </w:rPr>
      </w:pPr>
      <w:r>
        <w:rPr>
          <w:rFonts w:hint="eastAsia" w:ascii="黑体" w:hAnsi="黑体" w:eastAsia="黑体" w:cs="黑体"/>
          <w:sz w:val="24"/>
          <w:highlight w:val="none"/>
        </w:rPr>
        <w:t>6-3.有依法缴纳税收的良好记录的证明文件（提供承诺书，格式自拟） </w:t>
      </w:r>
    </w:p>
    <w:p>
      <w:pPr>
        <w:spacing w:line="432" w:lineRule="auto"/>
        <w:rPr>
          <w:rFonts w:ascii="黑体" w:hAnsi="黑体" w:eastAsia="黑体" w:cs="黑体"/>
          <w:sz w:val="24"/>
          <w:highlight w:val="none"/>
        </w:rPr>
      </w:pPr>
      <w:r>
        <w:rPr>
          <w:rFonts w:hint="eastAsia" w:ascii="黑体" w:hAnsi="黑体" w:eastAsia="黑体" w:cs="黑体"/>
          <w:sz w:val="24"/>
          <w:highlight w:val="none"/>
        </w:rPr>
        <w:t>6-4.有依法缴纳社会保障资金的良好记录的证明文件（提供承诺书，格式自拟）</w:t>
      </w:r>
    </w:p>
    <w:p>
      <w:pPr>
        <w:spacing w:line="432" w:lineRule="auto"/>
        <w:rPr>
          <w:rFonts w:ascii="黑体" w:hAnsi="黑体" w:eastAsia="黑体" w:cs="黑体"/>
          <w:sz w:val="24"/>
          <w:highlight w:val="none"/>
        </w:rPr>
      </w:pPr>
      <w:r>
        <w:rPr>
          <w:rFonts w:hint="eastAsia" w:ascii="黑体" w:hAnsi="黑体" w:eastAsia="黑体" w:cs="黑体"/>
          <w:sz w:val="24"/>
          <w:highlight w:val="none"/>
        </w:rPr>
        <w:t>6-5.投标供应商关于具备履行合同所必需的设备书面承诺函（格式附后）； </w:t>
      </w:r>
    </w:p>
    <w:p>
      <w:pPr>
        <w:spacing w:line="432" w:lineRule="auto"/>
        <w:rPr>
          <w:rFonts w:ascii="黑体" w:hAnsi="黑体" w:eastAsia="黑体" w:cs="黑体"/>
          <w:sz w:val="24"/>
          <w:highlight w:val="none"/>
        </w:rPr>
      </w:pPr>
      <w:r>
        <w:rPr>
          <w:rFonts w:hint="eastAsia" w:ascii="黑体" w:hAnsi="黑体" w:eastAsia="黑体" w:cs="黑体"/>
          <w:sz w:val="24"/>
          <w:highlight w:val="none"/>
        </w:rPr>
        <w:t>6-6.投标供应商关于具备履行合同所必需的专业技术能力书面承诺函（格式附后）；</w:t>
      </w:r>
    </w:p>
    <w:p>
      <w:pPr>
        <w:spacing w:line="432" w:lineRule="auto"/>
        <w:rPr>
          <w:rFonts w:ascii="黑体" w:hAnsi="黑体" w:eastAsia="黑体" w:cs="黑体"/>
          <w:sz w:val="24"/>
          <w:highlight w:val="none"/>
        </w:rPr>
      </w:pPr>
      <w:r>
        <w:rPr>
          <w:rFonts w:hint="eastAsia" w:ascii="黑体" w:hAnsi="黑体" w:eastAsia="黑体" w:cs="黑体"/>
          <w:sz w:val="24"/>
          <w:highlight w:val="none"/>
        </w:rPr>
        <w:t>6-7.法定代表人授权书、授权委托书（格式附后）；</w:t>
      </w:r>
    </w:p>
    <w:p>
      <w:pPr>
        <w:spacing w:line="432" w:lineRule="auto"/>
        <w:rPr>
          <w:rFonts w:ascii="黑体" w:hAnsi="黑体" w:eastAsia="黑体" w:cs="黑体"/>
          <w:sz w:val="24"/>
          <w:highlight w:val="none"/>
        </w:rPr>
      </w:pPr>
      <w:r>
        <w:rPr>
          <w:rFonts w:hint="eastAsia" w:ascii="黑体" w:hAnsi="黑体" w:eastAsia="黑体" w:cs="黑体"/>
          <w:sz w:val="24"/>
          <w:highlight w:val="none"/>
        </w:rPr>
        <w:t>6-8.投标供应商关于无重大违法记录的声明函（格式附后）；</w:t>
      </w:r>
    </w:p>
    <w:p>
      <w:pPr>
        <w:pStyle w:val="38"/>
        <w:ind w:firstLine="480"/>
        <w:rPr>
          <w:rFonts w:ascii="黑体" w:hAnsi="黑体" w:eastAsia="黑体" w:cs="黑体"/>
          <w:highlight w:val="none"/>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sz w:val="27"/>
          <w:szCs w:val="27"/>
          <w:highlight w:val="none"/>
        </w:rPr>
      </w:pPr>
      <w:r>
        <w:rPr>
          <w:rFonts w:hint="eastAsia" w:ascii="宋体" w:hAnsi="宋体"/>
          <w:b/>
          <w:bCs/>
          <w:sz w:val="27"/>
          <w:szCs w:val="27"/>
          <w:highlight w:val="none"/>
        </w:rPr>
        <w:t>6-5投标供应商关于具备履行合同所必需的设备书面承诺函（格式）</w:t>
      </w:r>
    </w:p>
    <w:p>
      <w:pPr>
        <w:spacing w:line="480" w:lineRule="auto"/>
        <w:rPr>
          <w:rFonts w:ascii="宋体" w:hAnsi="宋体"/>
          <w:sz w:val="27"/>
          <w:szCs w:val="27"/>
          <w:highlight w:val="none"/>
        </w:rPr>
      </w:pPr>
    </w:p>
    <w:p>
      <w:pPr>
        <w:spacing w:line="480" w:lineRule="auto"/>
        <w:rPr>
          <w:rFonts w:ascii="宋体" w:hAnsi="宋体"/>
          <w:sz w:val="27"/>
          <w:szCs w:val="27"/>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ind w:firstLine="540" w:firstLineChars="200"/>
        <w:rPr>
          <w:rFonts w:ascii="宋体" w:hAnsi="宋体"/>
          <w:sz w:val="27"/>
          <w:szCs w:val="27"/>
          <w:highlight w:val="none"/>
        </w:rPr>
      </w:pP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w:t>
      </w:r>
      <w:r>
        <w:rPr>
          <w:rFonts w:hint="eastAsia" w:ascii="宋体" w:hAnsi="宋体"/>
          <w:sz w:val="27"/>
          <w:szCs w:val="27"/>
          <w:highlight w:val="none"/>
        </w:rPr>
        <w:t>在参加本次政府采购活动中，</w:t>
      </w:r>
      <w:r>
        <w:rPr>
          <w:rFonts w:hint="eastAsia" w:ascii="宋体" w:hAnsi="宋体" w:cs="宋体"/>
          <w:kern w:val="0"/>
          <w:sz w:val="27"/>
          <w:szCs w:val="27"/>
          <w:highlight w:val="none"/>
        </w:rPr>
        <w:t>如获中标，</w:t>
      </w:r>
      <w:r>
        <w:rPr>
          <w:rFonts w:hint="eastAsia" w:ascii="宋体" w:hAnsi="宋体"/>
          <w:sz w:val="27"/>
          <w:szCs w:val="27"/>
          <w:highlight w:val="none"/>
        </w:rPr>
        <w:t>保证具有履行本次采购所必需的设备。</w:t>
      </w:r>
    </w:p>
    <w:p>
      <w:pPr>
        <w:spacing w:line="432" w:lineRule="auto"/>
        <w:ind w:firstLine="540" w:firstLineChars="200"/>
        <w:jc w:val="left"/>
        <w:rPr>
          <w:rFonts w:ascii="宋体" w:hAnsi="宋体"/>
          <w:sz w:val="27"/>
          <w:szCs w:val="27"/>
          <w:highlight w:val="none"/>
        </w:rPr>
      </w:pPr>
      <w:r>
        <w:rPr>
          <w:rFonts w:hint="eastAsia" w:ascii="宋体" w:hAnsi="宋体"/>
          <w:sz w:val="27"/>
          <w:szCs w:val="27"/>
          <w:highlight w:val="none"/>
        </w:rPr>
        <w:t>特此承诺。</w:t>
      </w:r>
    </w:p>
    <w:p>
      <w:pPr>
        <w:spacing w:line="480" w:lineRule="auto"/>
        <w:ind w:left="540"/>
        <w:rPr>
          <w:rFonts w:ascii="宋体" w:hAnsi="宋体"/>
          <w:sz w:val="27"/>
          <w:szCs w:val="27"/>
          <w:highlight w:val="none"/>
        </w:rPr>
      </w:pP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widowControl/>
        <w:spacing w:before="100" w:beforeAutospacing="1" w:after="100" w:afterAutospacing="1" w:line="480" w:lineRule="auto"/>
        <w:jc w:val="right"/>
        <w:rPr>
          <w:rFonts w:ascii="宋体" w:hAnsi="宋体" w:cs="宋体"/>
          <w:kern w:val="0"/>
          <w:sz w:val="28"/>
          <w:szCs w:val="28"/>
          <w:highlight w:val="none"/>
        </w:rPr>
      </w:pPr>
      <w:r>
        <w:rPr>
          <w:rFonts w:hint="eastAsia" w:ascii="宋体" w:hAnsi="宋体"/>
          <w:sz w:val="27"/>
          <w:szCs w:val="27"/>
          <w:highlight w:val="none"/>
        </w:rPr>
        <w:t xml:space="preserve">   年   月   日</w:t>
      </w:r>
    </w:p>
    <w:p>
      <w:pPr>
        <w:spacing w:line="432" w:lineRule="auto"/>
        <w:jc w:val="center"/>
        <w:rPr>
          <w:rFonts w:ascii="宋体" w:hAnsi="宋体"/>
          <w:b/>
          <w:bCs/>
          <w:sz w:val="27"/>
          <w:szCs w:val="27"/>
          <w:highlight w:val="none"/>
        </w:rPr>
      </w:pPr>
    </w:p>
    <w:p>
      <w:pPr>
        <w:spacing w:line="432" w:lineRule="auto"/>
        <w:jc w:val="center"/>
        <w:rPr>
          <w:rFonts w:ascii="宋体" w:hAnsi="宋体"/>
          <w:b/>
          <w:bCs/>
          <w:sz w:val="27"/>
          <w:szCs w:val="27"/>
          <w:highlight w:val="none"/>
        </w:rPr>
      </w:pPr>
      <w:r>
        <w:rPr>
          <w:rFonts w:hint="eastAsia" w:ascii="宋体" w:hAnsi="宋体"/>
          <w:b/>
          <w:bCs/>
          <w:sz w:val="27"/>
          <w:szCs w:val="27"/>
          <w:highlight w:val="none"/>
        </w:rPr>
        <w:t>6-6投标供应商关于具备履行合同所必需的专业技术能力书面承诺函（格式）</w:t>
      </w:r>
    </w:p>
    <w:p>
      <w:pPr>
        <w:spacing w:line="480" w:lineRule="auto"/>
        <w:rPr>
          <w:rFonts w:ascii="仿宋_GB2312" w:eastAsia="仿宋_GB2312"/>
          <w:sz w:val="28"/>
          <w:szCs w:val="28"/>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rPr>
          <w:rFonts w:ascii="宋体" w:hAnsi="宋体"/>
          <w:sz w:val="27"/>
          <w:szCs w:val="27"/>
          <w:highlight w:val="none"/>
        </w:rPr>
      </w:pPr>
    </w:p>
    <w:p>
      <w:pPr>
        <w:spacing w:line="360" w:lineRule="auto"/>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 xml:space="preserve"> </w:t>
      </w: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kern w:val="0"/>
          <w:sz w:val="27"/>
          <w:szCs w:val="27"/>
          <w:highlight w:val="none"/>
        </w:rPr>
      </w:pPr>
      <w:r>
        <w:rPr>
          <w:rFonts w:hint="eastAsia" w:ascii="宋体" w:hAnsi="宋体" w:cs="宋体"/>
          <w:kern w:val="0"/>
          <w:sz w:val="27"/>
          <w:szCs w:val="27"/>
          <w:highlight w:val="none"/>
        </w:rPr>
        <w:t>特此承诺。</w:t>
      </w:r>
    </w:p>
    <w:p>
      <w:pPr>
        <w:spacing w:line="480" w:lineRule="auto"/>
        <w:ind w:left="540"/>
        <w:rPr>
          <w:rFonts w:ascii="宋体" w:hAnsi="宋体"/>
          <w:sz w:val="27"/>
          <w:szCs w:val="27"/>
          <w:highlight w:val="none"/>
        </w:rPr>
      </w:pP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年   月   日</w:t>
      </w:r>
    </w:p>
    <w:p>
      <w:pPr>
        <w:rPr>
          <w:highlight w:val="none"/>
        </w:rPr>
      </w:pPr>
    </w:p>
    <w:p>
      <w:pPr>
        <w:pStyle w:val="38"/>
        <w:ind w:firstLine="480"/>
        <w:rPr>
          <w:highlight w:val="none"/>
        </w:rPr>
      </w:pPr>
    </w:p>
    <w:p>
      <w:pPr>
        <w:pStyle w:val="38"/>
        <w:ind w:firstLine="480"/>
        <w:rPr>
          <w:highlight w:val="none"/>
        </w:rPr>
      </w:pPr>
    </w:p>
    <w:p>
      <w:pPr>
        <w:spacing w:line="432" w:lineRule="auto"/>
        <w:jc w:val="center"/>
        <w:rPr>
          <w:rFonts w:ascii="宋体" w:hAnsi="宋体"/>
          <w:b/>
          <w:bCs/>
          <w:sz w:val="27"/>
          <w:szCs w:val="27"/>
          <w:highlight w:val="none"/>
        </w:rPr>
      </w:pPr>
      <w:r>
        <w:rPr>
          <w:rFonts w:hint="eastAsia" w:ascii="宋体" w:hAnsi="宋体"/>
          <w:b/>
          <w:bCs/>
          <w:sz w:val="27"/>
          <w:szCs w:val="27"/>
          <w:highlight w:val="none"/>
        </w:rPr>
        <w:t>6-7 法定代表人身份证明</w:t>
      </w:r>
    </w:p>
    <w:p>
      <w:pPr>
        <w:pStyle w:val="78"/>
        <w:spacing w:line="360" w:lineRule="auto"/>
        <w:ind w:firstLine="420" w:firstLineChars="200"/>
        <w:rPr>
          <w:rFonts w:hAnsi="宋体"/>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供应商名称：_________________________________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单位性质：___________________________________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地址：_______________________________________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成立时间：_______年____月____日</w:t>
      </w:r>
    </w:p>
    <w:p>
      <w:pPr>
        <w:pStyle w:val="78"/>
        <w:spacing w:line="360" w:lineRule="auto"/>
        <w:ind w:firstLine="480" w:firstLineChars="200"/>
        <w:rPr>
          <w:rFonts w:hAnsi="宋体"/>
          <w:sz w:val="24"/>
          <w:szCs w:val="24"/>
          <w:highlight w:val="none"/>
        </w:rPr>
      </w:pPr>
      <w:r>
        <w:rPr>
          <w:rFonts w:hint="eastAsia" w:hAnsi="宋体"/>
          <w:sz w:val="24"/>
          <w:szCs w:val="24"/>
          <w:highlight w:val="none"/>
        </w:rPr>
        <w:t>经营期限：___________________________________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姓名：_______性别：___年龄：___职务：________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系__________________________________（供应商名称）的法定代表人。</w:t>
      </w:r>
    </w:p>
    <w:p>
      <w:pPr>
        <w:spacing w:line="360" w:lineRule="auto"/>
        <w:ind w:firstLine="480"/>
        <w:rPr>
          <w:rFonts w:ascii="宋体" w:hAnsi="宋体"/>
          <w:sz w:val="24"/>
          <w:highlight w:val="none"/>
        </w:rPr>
      </w:pPr>
      <w:r>
        <w:rPr>
          <w:rFonts w:hint="eastAsia" w:ascii="宋体" w:hAnsi="宋体"/>
          <w:sz w:val="24"/>
          <w:highlight w:val="none"/>
        </w:rPr>
        <w:t>特此证明。</w:t>
      </w:r>
    </w:p>
    <w:p>
      <w:pPr>
        <w:pStyle w:val="78"/>
        <w:spacing w:line="360" w:lineRule="auto"/>
        <w:ind w:firstLine="480" w:firstLineChars="200"/>
        <w:rPr>
          <w:rFonts w:hAnsi="宋体"/>
          <w:sz w:val="24"/>
          <w:szCs w:val="24"/>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附法定代表人身份证复印件：</w:t>
      </w:r>
    </w:p>
    <w:p>
      <w:pPr>
        <w:pStyle w:val="78"/>
        <w:spacing w:line="360" w:lineRule="auto"/>
        <w:ind w:firstLine="480" w:firstLineChars="200"/>
        <w:rPr>
          <w:rFonts w:hAnsi="宋体"/>
          <w:sz w:val="24"/>
          <w:szCs w:val="24"/>
          <w:highlight w:val="none"/>
        </w:rPr>
      </w:pPr>
    </w:p>
    <w:p>
      <w:pPr>
        <w:spacing w:line="360" w:lineRule="auto"/>
        <w:ind w:firstLine="5616" w:firstLineChars="2340"/>
        <w:rPr>
          <w:rFonts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(盖章)    </w:t>
      </w:r>
    </w:p>
    <w:p>
      <w:pPr>
        <w:spacing w:line="360" w:lineRule="auto"/>
        <w:ind w:firstLine="6720" w:firstLineChars="2800"/>
        <w:rPr>
          <w:rFonts w:ascii="宋体" w:hAnsi="宋体"/>
          <w:sz w:val="24"/>
          <w:highlight w:val="none"/>
        </w:rPr>
        <w:sectPr>
          <w:pgSz w:w="11906" w:h="16838"/>
          <w:pgMar w:top="1418" w:right="1418" w:bottom="1418" w:left="1418" w:header="851" w:footer="992" w:gutter="0"/>
          <w:cols w:space="720" w:num="1"/>
          <w:docGrid w:type="lines" w:linePitch="482" w:charSpace="0"/>
        </w:sect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432" w:lineRule="auto"/>
        <w:jc w:val="center"/>
        <w:rPr>
          <w:rFonts w:ascii="宋体" w:hAnsi="宋体"/>
          <w:b/>
          <w:bCs/>
          <w:sz w:val="27"/>
          <w:szCs w:val="27"/>
          <w:highlight w:val="none"/>
        </w:rPr>
      </w:pPr>
      <w:r>
        <w:rPr>
          <w:rFonts w:hint="eastAsia" w:ascii="宋体" w:hAnsi="宋体"/>
          <w:b/>
          <w:bCs/>
          <w:sz w:val="27"/>
          <w:szCs w:val="27"/>
          <w:highlight w:val="none"/>
        </w:rPr>
        <w:t>授权委托书</w:t>
      </w:r>
    </w:p>
    <w:p>
      <w:pPr>
        <w:pStyle w:val="78"/>
        <w:spacing w:line="360" w:lineRule="auto"/>
        <w:rPr>
          <w:rFonts w:hAnsi="宋体"/>
          <w:highlight w:val="none"/>
        </w:rPr>
      </w:pPr>
    </w:p>
    <w:p>
      <w:pPr>
        <w:pStyle w:val="78"/>
        <w:spacing w:line="360" w:lineRule="auto"/>
        <w:ind w:firstLine="480" w:firstLineChars="200"/>
        <w:rPr>
          <w:rFonts w:hAnsi="宋体"/>
          <w:sz w:val="24"/>
          <w:szCs w:val="24"/>
          <w:highlight w:val="none"/>
        </w:rPr>
      </w:pPr>
      <w:r>
        <w:rPr>
          <w:rFonts w:hint="eastAsia" w:hAnsi="宋体"/>
          <w:sz w:val="24"/>
          <w:szCs w:val="24"/>
          <w:highlight w:val="none"/>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78"/>
        <w:spacing w:line="360" w:lineRule="auto"/>
        <w:ind w:firstLine="480" w:firstLineChars="200"/>
        <w:rPr>
          <w:rFonts w:hAnsi="宋体"/>
          <w:sz w:val="24"/>
          <w:szCs w:val="24"/>
          <w:highlight w:val="none"/>
        </w:rPr>
      </w:pPr>
      <w:r>
        <w:rPr>
          <w:rFonts w:hint="eastAsia" w:hAnsi="宋体"/>
          <w:sz w:val="24"/>
          <w:szCs w:val="24"/>
          <w:highlight w:val="none"/>
        </w:rPr>
        <w:t>委托期限：__________________________________</w:t>
      </w:r>
    </w:p>
    <w:p>
      <w:pPr>
        <w:pStyle w:val="78"/>
        <w:spacing w:line="360" w:lineRule="auto"/>
        <w:ind w:firstLine="480" w:firstLineChars="200"/>
        <w:rPr>
          <w:rFonts w:hAnsi="宋体"/>
          <w:sz w:val="24"/>
          <w:szCs w:val="24"/>
          <w:highlight w:val="none"/>
        </w:rPr>
      </w:pPr>
      <w:r>
        <w:rPr>
          <w:rFonts w:hint="eastAsia" w:hAnsi="宋体"/>
          <w:sz w:val="24"/>
          <w:szCs w:val="24"/>
          <w:highlight w:val="none"/>
        </w:rPr>
        <w:t>代理人无转委托权。</w:t>
      </w:r>
    </w:p>
    <w:p>
      <w:pPr>
        <w:pStyle w:val="78"/>
        <w:spacing w:line="360" w:lineRule="auto"/>
        <w:ind w:firstLine="480" w:firstLineChars="200"/>
        <w:rPr>
          <w:rFonts w:hAnsi="宋体"/>
          <w:sz w:val="24"/>
          <w:szCs w:val="24"/>
          <w:highlight w:val="none"/>
        </w:rPr>
      </w:pPr>
      <w:r>
        <w:rPr>
          <w:rFonts w:hint="eastAsia" w:hAnsi="宋体"/>
          <w:sz w:val="24"/>
          <w:szCs w:val="24"/>
          <w:highlight w:val="none"/>
        </w:rPr>
        <w:t>附：法定代表人身份证明、本人身份证复印件</w:t>
      </w:r>
    </w:p>
    <w:p>
      <w:pPr>
        <w:pStyle w:val="78"/>
        <w:spacing w:line="360" w:lineRule="auto"/>
        <w:ind w:firstLine="420" w:firstLineChars="200"/>
        <w:rPr>
          <w:rFonts w:hAnsi="宋体"/>
          <w:highlight w:val="none"/>
        </w:rPr>
      </w:pPr>
    </w:p>
    <w:p>
      <w:pPr>
        <w:pStyle w:val="78"/>
        <w:spacing w:line="360" w:lineRule="auto"/>
        <w:ind w:firstLine="420" w:firstLineChars="200"/>
        <w:rPr>
          <w:rFonts w:hAnsi="宋体"/>
          <w:highlight w:val="none"/>
        </w:rPr>
      </w:pPr>
    </w:p>
    <w:p>
      <w:pPr>
        <w:spacing w:line="360" w:lineRule="auto"/>
        <w:ind w:firstLine="4252" w:firstLineChars="2025"/>
        <w:rPr>
          <w:rFonts w:ascii="宋体" w:hAnsi="宋体"/>
          <w:szCs w:val="21"/>
          <w:highlight w:val="none"/>
        </w:rPr>
      </w:pPr>
      <w:r>
        <w:rPr>
          <w:rFonts w:hint="eastAsia" w:ascii="宋体" w:hAnsi="宋体"/>
          <w:szCs w:val="21"/>
          <w:highlight w:val="none"/>
        </w:rPr>
        <w:t>投  标  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4252" w:firstLineChars="2025"/>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52" w:firstLineChars="2025"/>
        <w:rPr>
          <w:rFonts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spacing w:line="360" w:lineRule="auto"/>
        <w:ind w:firstLine="4252" w:firstLineChars="2025"/>
        <w:rPr>
          <w:rFonts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w:t>
      </w:r>
    </w:p>
    <w:p>
      <w:pPr>
        <w:spacing w:line="360" w:lineRule="auto"/>
        <w:ind w:firstLine="4252" w:firstLineChars="2025"/>
        <w:rPr>
          <w:rFonts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spacing w:line="360" w:lineRule="auto"/>
        <w:ind w:firstLine="6562" w:firstLineChars="3125"/>
        <w:rPr>
          <w:rFonts w:hAnsi="宋体"/>
          <w:b/>
          <w:bCs/>
          <w:sz w:val="32"/>
          <w:highlight w:val="none"/>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rPr>
          <w:highlight w:val="none"/>
        </w:rPr>
      </w:pPr>
    </w:p>
    <w:p>
      <w:pPr>
        <w:rPr>
          <w:highlight w:val="none"/>
        </w:rPr>
      </w:pPr>
    </w:p>
    <w:p>
      <w:pPr>
        <w:spacing w:line="432" w:lineRule="auto"/>
        <w:jc w:val="center"/>
        <w:rPr>
          <w:rFonts w:ascii="宋体" w:hAnsi="宋体"/>
          <w:b/>
          <w:bCs/>
          <w:sz w:val="27"/>
          <w:szCs w:val="27"/>
          <w:highlight w:val="none"/>
        </w:rPr>
      </w:pPr>
      <w:bookmarkStart w:id="89" w:name="_Toc17137"/>
      <w:bookmarkStart w:id="90" w:name="_Toc376848272"/>
      <w:r>
        <w:rPr>
          <w:rFonts w:hint="eastAsia" w:ascii="宋体" w:hAnsi="宋体"/>
          <w:b/>
          <w:bCs/>
          <w:sz w:val="27"/>
          <w:szCs w:val="27"/>
          <w:highlight w:val="none"/>
        </w:rPr>
        <w:t>6-8投标供应商关于无重大违法记录书面声明函（格式）</w:t>
      </w:r>
    </w:p>
    <w:p>
      <w:pPr>
        <w:spacing w:line="480" w:lineRule="auto"/>
        <w:rPr>
          <w:rFonts w:ascii="宋体" w:hAnsi="宋体"/>
          <w:sz w:val="27"/>
          <w:szCs w:val="27"/>
          <w:highlight w:val="none"/>
        </w:rPr>
      </w:pPr>
    </w:p>
    <w:p>
      <w:pPr>
        <w:spacing w:line="480" w:lineRule="auto"/>
        <w:rPr>
          <w:rFonts w:ascii="宋体" w:hAnsi="宋体"/>
          <w:sz w:val="27"/>
          <w:szCs w:val="27"/>
          <w:highlight w:val="none"/>
        </w:rPr>
      </w:pPr>
      <w:r>
        <w:rPr>
          <w:rFonts w:hint="eastAsia" w:ascii="宋体" w:hAnsi="宋体"/>
          <w:sz w:val="27"/>
          <w:szCs w:val="27"/>
          <w:highlight w:val="none"/>
        </w:rPr>
        <w:t>致：</w:t>
      </w:r>
    </w:p>
    <w:p>
      <w:pPr>
        <w:spacing w:line="480" w:lineRule="auto"/>
        <w:ind w:firstLine="540" w:firstLineChars="200"/>
        <w:rPr>
          <w:rFonts w:ascii="宋体" w:hAnsi="宋体"/>
          <w:sz w:val="27"/>
          <w:szCs w:val="27"/>
          <w:highlight w:val="none"/>
        </w:rPr>
      </w:pPr>
      <w:r>
        <w:rPr>
          <w:rFonts w:hint="eastAsia" w:ascii="宋体" w:hAnsi="宋体" w:cs="宋体"/>
          <w:kern w:val="0"/>
          <w:sz w:val="27"/>
          <w:szCs w:val="27"/>
          <w:highlight w:val="none"/>
          <w:u w:val="single"/>
        </w:rPr>
        <w:t xml:space="preserve">             </w:t>
      </w:r>
      <w:r>
        <w:rPr>
          <w:rFonts w:hint="eastAsia" w:ascii="宋体" w:hAnsi="宋体" w:cs="宋体"/>
          <w:kern w:val="0"/>
          <w:sz w:val="27"/>
          <w:szCs w:val="27"/>
          <w:highlight w:val="none"/>
        </w:rPr>
        <w:t>投标供应商名称（或自然人姓名）</w:t>
      </w:r>
      <w:r>
        <w:rPr>
          <w:rFonts w:hint="eastAsia" w:ascii="宋体" w:hAnsi="宋体"/>
          <w:sz w:val="27"/>
          <w:szCs w:val="27"/>
          <w:highlight w:val="none"/>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highlight w:val="none"/>
        </w:rPr>
      </w:pPr>
      <w:r>
        <w:rPr>
          <w:rFonts w:hint="eastAsia" w:ascii="宋体" w:hAnsi="宋体"/>
          <w:sz w:val="27"/>
          <w:szCs w:val="27"/>
          <w:highlight w:val="none"/>
        </w:rPr>
        <w:t>特此声明。</w:t>
      </w:r>
    </w:p>
    <w:p>
      <w:pPr>
        <w:spacing w:line="480" w:lineRule="auto"/>
        <w:ind w:left="540"/>
        <w:rPr>
          <w:rFonts w:ascii="宋体" w:hAnsi="宋体"/>
          <w:sz w:val="27"/>
          <w:szCs w:val="27"/>
          <w:highlight w:val="none"/>
        </w:rPr>
      </w:pPr>
    </w:p>
    <w:p>
      <w:pPr>
        <w:spacing w:line="400" w:lineRule="exact"/>
        <w:ind w:firstLine="540" w:firstLineChars="200"/>
        <w:rPr>
          <w:sz w:val="27"/>
          <w:szCs w:val="27"/>
          <w:highlight w:val="none"/>
        </w:rPr>
      </w:pPr>
      <w:r>
        <w:rPr>
          <w:rFonts w:hint="eastAsia" w:hAnsi="宋体" w:cs="宋体"/>
          <w:kern w:val="0"/>
          <w:sz w:val="27"/>
          <w:szCs w:val="27"/>
          <w:highlight w:val="none"/>
        </w:rPr>
        <w:t xml:space="preserve">                        </w:t>
      </w:r>
      <w:r>
        <w:rPr>
          <w:rFonts w:hint="eastAsia" w:ascii="宋体" w:hAnsi="宋体" w:cs="宋体"/>
          <w:kern w:val="0"/>
          <w:sz w:val="27"/>
          <w:szCs w:val="27"/>
          <w:highlight w:val="none"/>
        </w:rPr>
        <w:t>投标供应商代表（签字）</w:t>
      </w:r>
      <w:r>
        <w:rPr>
          <w:rFonts w:hint="eastAsia"/>
          <w:sz w:val="27"/>
          <w:szCs w:val="27"/>
          <w:highlight w:val="none"/>
        </w:rPr>
        <w:t xml:space="preserve">：                       </w:t>
      </w:r>
    </w:p>
    <w:p>
      <w:pPr>
        <w:spacing w:line="400" w:lineRule="exact"/>
        <w:ind w:firstLine="531" w:firstLineChars="196"/>
        <w:rPr>
          <w:rFonts w:ascii="宋体" w:hAnsi="宋体" w:cs="宋体"/>
          <w:b/>
          <w:bCs/>
          <w:kern w:val="0"/>
          <w:sz w:val="27"/>
          <w:szCs w:val="27"/>
          <w:highlight w:val="none"/>
          <w:u w:val="single"/>
        </w:rPr>
      </w:pP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r>
        <w:rPr>
          <w:rFonts w:hint="eastAsia" w:ascii="宋体" w:hAnsi="宋体"/>
          <w:sz w:val="27"/>
          <w:szCs w:val="27"/>
          <w:highlight w:val="none"/>
        </w:rPr>
        <w:t xml:space="preserve">              </w:t>
      </w:r>
      <w:r>
        <w:rPr>
          <w:rFonts w:hint="eastAsia" w:ascii="宋体" w:hAnsi="宋体" w:cs="宋体"/>
          <w:kern w:val="0"/>
          <w:sz w:val="27"/>
          <w:szCs w:val="27"/>
          <w:highlight w:val="none"/>
        </w:rPr>
        <w:t>投标供应商名称</w:t>
      </w:r>
      <w:r>
        <w:rPr>
          <w:rFonts w:hint="eastAsia" w:ascii="宋体" w:hAnsi="宋体"/>
          <w:sz w:val="27"/>
          <w:szCs w:val="27"/>
          <w:highlight w:val="none"/>
        </w:rPr>
        <w:t>或自然人姓名：</w:t>
      </w:r>
      <w:r>
        <w:rPr>
          <w:rFonts w:hint="eastAsia" w:ascii="宋体" w:hAnsi="宋体" w:cs="宋体"/>
          <w:kern w:val="0"/>
          <w:sz w:val="27"/>
          <w:szCs w:val="27"/>
          <w:highlight w:val="none"/>
        </w:rPr>
        <w:t>（公章或</w:t>
      </w:r>
      <w:r>
        <w:rPr>
          <w:rFonts w:hint="eastAsia" w:ascii="宋体" w:hAnsi="宋体"/>
          <w:sz w:val="27"/>
          <w:szCs w:val="27"/>
          <w:highlight w:val="none"/>
        </w:rPr>
        <w:t>自然人</w:t>
      </w:r>
      <w:r>
        <w:rPr>
          <w:rFonts w:hint="eastAsia" w:ascii="宋体" w:hAnsi="宋体" w:cs="宋体"/>
          <w:kern w:val="0"/>
          <w:sz w:val="27"/>
          <w:szCs w:val="27"/>
          <w:highlight w:val="none"/>
        </w:rPr>
        <w:t>姓名）</w:t>
      </w:r>
      <w:r>
        <w:rPr>
          <w:rFonts w:hint="eastAsia" w:ascii="宋体" w:hAnsi="宋体"/>
          <w:sz w:val="27"/>
          <w:szCs w:val="27"/>
          <w:highlight w:val="none"/>
        </w:rPr>
        <w:t xml:space="preserve"> </w:t>
      </w:r>
    </w:p>
    <w:p>
      <w:pPr>
        <w:spacing w:line="480" w:lineRule="auto"/>
        <w:ind w:right="540"/>
        <w:jc w:val="center"/>
        <w:rPr>
          <w:rFonts w:ascii="宋体" w:hAnsi="宋体"/>
          <w:sz w:val="27"/>
          <w:szCs w:val="27"/>
          <w:highlight w:val="none"/>
        </w:rPr>
      </w:pPr>
    </w:p>
    <w:p>
      <w:pPr>
        <w:widowControl/>
        <w:spacing w:before="100" w:beforeAutospacing="1" w:after="100" w:afterAutospacing="1" w:line="480" w:lineRule="auto"/>
        <w:jc w:val="right"/>
        <w:rPr>
          <w:rFonts w:ascii="宋体" w:hAnsi="宋体"/>
          <w:sz w:val="27"/>
          <w:szCs w:val="27"/>
          <w:highlight w:val="none"/>
        </w:rPr>
      </w:pPr>
      <w:r>
        <w:rPr>
          <w:rFonts w:hint="eastAsia" w:ascii="宋体" w:hAnsi="宋体"/>
          <w:sz w:val="27"/>
          <w:szCs w:val="27"/>
          <w:highlight w:val="none"/>
        </w:rPr>
        <w:t xml:space="preserve">   年   月   日</w:t>
      </w: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540"/>
        <w:rPr>
          <w:sz w:val="27"/>
          <w:szCs w:val="27"/>
          <w:highlight w:val="none"/>
        </w:rPr>
      </w:pPr>
    </w:p>
    <w:p>
      <w:pPr>
        <w:pStyle w:val="38"/>
        <w:ind w:firstLine="0" w:firstLineChars="0"/>
        <w:rPr>
          <w:sz w:val="27"/>
          <w:szCs w:val="27"/>
          <w:highlight w:val="none"/>
        </w:rPr>
      </w:pPr>
    </w:p>
    <w:bookmarkEnd w:id="89"/>
    <w:bookmarkEnd w:id="90"/>
    <w:p>
      <w:pPr>
        <w:rPr>
          <w:highlight w:val="none"/>
        </w:rPr>
      </w:pPr>
    </w:p>
    <w:p>
      <w:pPr>
        <w:rPr>
          <w:highlight w:val="none"/>
        </w:rPr>
      </w:pPr>
    </w:p>
    <w:p>
      <w:pPr>
        <w:pStyle w:val="3"/>
        <w:jc w:val="center"/>
        <w:rPr>
          <w:rFonts w:ascii="宋体" w:hAnsi="宋体" w:eastAsia="宋体"/>
          <w:highlight w:val="none"/>
        </w:rPr>
      </w:pPr>
      <w:r>
        <w:rPr>
          <w:rFonts w:hint="eastAsia" w:ascii="宋体" w:hAnsi="宋体" w:eastAsia="宋体"/>
          <w:highlight w:val="none"/>
        </w:rPr>
        <w:t>7.技术商务部分等评审计分有关的资料</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pStyle w:val="38"/>
        <w:ind w:firstLine="480"/>
        <w:rPr>
          <w:highlight w:val="none"/>
        </w:rPr>
      </w:pPr>
    </w:p>
    <w:p>
      <w:pPr>
        <w:rPr>
          <w:highlight w:val="none"/>
        </w:rPr>
      </w:pPr>
    </w:p>
    <w:p>
      <w:pPr>
        <w:pStyle w:val="2"/>
        <w:numPr>
          <w:ilvl w:val="0"/>
          <w:numId w:val="7"/>
        </w:numPr>
        <w:spacing w:line="360" w:lineRule="auto"/>
        <w:jc w:val="center"/>
        <w:rPr>
          <w:rFonts w:hAnsi="宋体"/>
          <w:b/>
          <w:bCs/>
          <w:sz w:val="32"/>
          <w:highlight w:val="none"/>
        </w:rPr>
      </w:pPr>
      <w:bookmarkStart w:id="91" w:name="_Hlk142394426"/>
      <w:r>
        <w:rPr>
          <w:rFonts w:hint="eastAsia" w:hAnsi="宋体"/>
          <w:b/>
          <w:bCs/>
          <w:sz w:val="32"/>
          <w:highlight w:val="none"/>
        </w:rPr>
        <w:t>采购项目服务需求</w:t>
      </w:r>
      <w:bookmarkEnd w:id="87"/>
      <w:bookmarkEnd w:id="88"/>
    </w:p>
    <w:bookmarkEnd w:id="91"/>
    <w:tbl>
      <w:tblPr>
        <w:tblStyle w:val="39"/>
        <w:tblW w:w="914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2763"/>
        <w:gridCol w:w="5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序号</w:t>
            </w: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功能清单</w:t>
            </w:r>
          </w:p>
        </w:tc>
        <w:tc>
          <w:tcPr>
            <w:tcW w:w="5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数据资源</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补充</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基础数据</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危险区、河道断面、取水口、河湖管理范围、河段、水利行业人员6类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监测数据</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土壤墒情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业务数据</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风险区管理、河湖长制管理 2 类业务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非结构化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文档、图片、视频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数据模型</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扩展</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危险区、河道断面、取水口、河湖管理范围、河段、水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利行业人员 6 类对象和风险区管理、河湖长制管理 2 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业务</w:t>
            </w:r>
          </w:p>
        </w:tc>
      </w:tr>
    </w:tbl>
    <w:p>
      <w:pPr>
        <w:spacing w:line="360" w:lineRule="auto"/>
        <w:ind w:firstLine="480" w:firstLineChars="200"/>
        <w:rPr>
          <w:rFonts w:ascii="宋体" w:hAnsi="宋体"/>
          <w:bCs/>
          <w:kern w:val="44"/>
          <w:sz w:val="24"/>
          <w:szCs w:val="22"/>
          <w:highlight w:val="none"/>
        </w:rPr>
      </w:pPr>
    </w:p>
    <w:p>
      <w:pPr>
        <w:pStyle w:val="3"/>
        <w:rPr>
          <w:highlight w:val="none"/>
        </w:rPr>
      </w:pPr>
      <w:r>
        <w:rPr>
          <w:rFonts w:hint="eastAsia"/>
          <w:highlight w:val="none"/>
        </w:rPr>
        <w:t>2、商务要求</w:t>
      </w:r>
    </w:p>
    <w:p>
      <w:pPr>
        <w:spacing w:line="360" w:lineRule="auto"/>
        <w:rPr>
          <w:rFonts w:ascii="宋体" w:hAnsi="宋体"/>
          <w:b/>
          <w:bCs/>
          <w:sz w:val="24"/>
          <w:szCs w:val="24"/>
          <w:highlight w:val="none"/>
        </w:rPr>
      </w:pPr>
      <w:r>
        <w:rPr>
          <w:rFonts w:hint="eastAsia" w:ascii="宋体" w:hAnsi="宋体"/>
          <w:b/>
          <w:bCs/>
          <w:sz w:val="24"/>
          <w:szCs w:val="24"/>
          <w:highlight w:val="none"/>
        </w:rPr>
        <w:t>2.1 建设周期</w:t>
      </w:r>
    </w:p>
    <w:p>
      <w:pPr>
        <w:pStyle w:val="120"/>
        <w:spacing w:line="360" w:lineRule="auto"/>
        <w:ind w:firstLine="566" w:firstLineChars="236"/>
        <w:jc w:val="both"/>
        <w:rPr>
          <w:rFonts w:ascii="宋体" w:hAnsi="宋体" w:eastAsia="宋体" w:cs="宋体"/>
          <w:kern w:val="2"/>
          <w:highlight w:val="none"/>
        </w:rPr>
      </w:pPr>
      <w:r>
        <w:rPr>
          <w:rFonts w:hint="eastAsia" w:ascii="宋体" w:hAnsi="宋体" w:eastAsia="宋体" w:cs="宋体"/>
          <w:kern w:val="2"/>
          <w:highlight w:val="none"/>
          <w:lang w:val="en-US" w:eastAsia="zh-CN"/>
        </w:rPr>
        <w:t>6</w:t>
      </w:r>
      <w:r>
        <w:rPr>
          <w:rFonts w:hint="eastAsia" w:ascii="宋体" w:hAnsi="宋体" w:eastAsia="宋体" w:cs="宋体"/>
          <w:kern w:val="2"/>
          <w:highlight w:val="none"/>
        </w:rPr>
        <w:t>个月，按合同签订时间开始计算。</w:t>
      </w:r>
    </w:p>
    <w:p>
      <w:pPr>
        <w:spacing w:line="360" w:lineRule="auto"/>
        <w:rPr>
          <w:rFonts w:ascii="宋体" w:hAnsi="宋体"/>
          <w:b/>
          <w:bCs/>
          <w:sz w:val="24"/>
          <w:szCs w:val="24"/>
          <w:highlight w:val="none"/>
        </w:rPr>
      </w:pPr>
      <w:r>
        <w:rPr>
          <w:rFonts w:hint="eastAsia" w:ascii="宋体" w:hAnsi="宋体"/>
          <w:b/>
          <w:bCs/>
          <w:sz w:val="24"/>
          <w:szCs w:val="24"/>
          <w:highlight w:val="none"/>
        </w:rPr>
        <w:t>2.2付款方式</w:t>
      </w:r>
    </w:p>
    <w:p>
      <w:pPr>
        <w:pStyle w:val="37"/>
        <w:ind w:firstLine="480" w:firstLineChars="200"/>
        <w:rPr>
          <w:rFonts w:hint="eastAsia" w:eastAsia="仿宋"/>
          <w:highlight w:val="yellow"/>
          <w:lang w:eastAsia="zh-Hans"/>
        </w:rPr>
      </w:pPr>
      <w:r>
        <w:rPr>
          <w:rFonts w:hint="eastAsia" w:ascii="仿宋" w:hAnsi="仿宋" w:eastAsia="仿宋" w:cs="仿宋"/>
          <w:sz w:val="24"/>
          <w:highlight w:val="yellow"/>
        </w:rPr>
        <w:t>付款时间：合同签订后甲方在10个工作日内支付合同金额的40%；乙方提交中间成果报告，并完成详细设计阶段工作后，经甲方认可后，支付合同金额的40%进度款；项目验收合格后，乙方提交所有研究成果资料，经甲方认可后，支付合同金额的20%验收款；每次支付前乙方需提供增值税专用发票。</w:t>
      </w:r>
    </w:p>
    <w:p>
      <w:pPr>
        <w:spacing w:line="360" w:lineRule="auto"/>
        <w:rPr>
          <w:rFonts w:ascii="宋体" w:hAnsi="宋体"/>
          <w:b/>
          <w:bCs/>
          <w:sz w:val="24"/>
          <w:szCs w:val="24"/>
          <w:highlight w:val="none"/>
        </w:rPr>
      </w:pPr>
      <w:r>
        <w:rPr>
          <w:rFonts w:hint="eastAsia" w:ascii="宋体" w:hAnsi="宋体"/>
          <w:b/>
          <w:bCs/>
          <w:sz w:val="24"/>
          <w:szCs w:val="24"/>
          <w:highlight w:val="none"/>
        </w:rPr>
        <w:t>2.3服务（交付）地点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采购人指定地点。</w:t>
      </w:r>
    </w:p>
    <w:p>
      <w:pPr>
        <w:spacing w:line="360" w:lineRule="auto"/>
        <w:rPr>
          <w:rFonts w:ascii="宋体" w:hAnsi="宋体"/>
          <w:b/>
          <w:bCs/>
          <w:sz w:val="24"/>
          <w:szCs w:val="24"/>
          <w:highlight w:val="none"/>
        </w:rPr>
      </w:pPr>
      <w:r>
        <w:rPr>
          <w:rFonts w:hint="eastAsia" w:ascii="宋体" w:hAnsi="宋体"/>
          <w:b/>
          <w:bCs/>
          <w:sz w:val="24"/>
          <w:szCs w:val="24"/>
          <w:highlight w:val="none"/>
        </w:rPr>
        <w:t>2.4货物采购要求：</w:t>
      </w:r>
    </w:p>
    <w:p>
      <w:pPr>
        <w:spacing w:after="120" w:afterLines="50" w:line="360" w:lineRule="auto"/>
        <w:rPr>
          <w:rFonts w:ascii="宋体" w:hAnsi="宋体"/>
          <w:sz w:val="24"/>
          <w:highlight w:val="none"/>
        </w:rPr>
      </w:pPr>
      <w:r>
        <w:rPr>
          <w:rFonts w:hint="eastAsia" w:ascii="宋体" w:hAnsi="宋体"/>
          <w:sz w:val="24"/>
          <w:highlight w:val="none"/>
        </w:rPr>
        <w:t>2.4.1投标人须提供全新、原装，并符合质量标准的货物。</w:t>
      </w:r>
    </w:p>
    <w:p>
      <w:pPr>
        <w:spacing w:after="120" w:afterLines="50" w:line="360" w:lineRule="auto"/>
        <w:rPr>
          <w:rFonts w:ascii="宋体" w:hAnsi="宋体"/>
          <w:sz w:val="24"/>
          <w:highlight w:val="none"/>
        </w:rPr>
      </w:pPr>
      <w:r>
        <w:rPr>
          <w:rFonts w:hint="eastAsia" w:ascii="宋体" w:hAnsi="宋体"/>
          <w:sz w:val="24"/>
          <w:highlight w:val="none"/>
        </w:rPr>
        <w:t>2.4.2投标人提供的所有设备和服务，其质量、技术等特征必须符合国家、行业现行的标准及用户需求；</w:t>
      </w:r>
    </w:p>
    <w:p>
      <w:pPr>
        <w:spacing w:after="120" w:afterLines="50" w:line="360" w:lineRule="auto"/>
        <w:rPr>
          <w:rFonts w:ascii="宋体" w:hAnsi="宋体"/>
          <w:sz w:val="24"/>
          <w:highlight w:val="none"/>
        </w:rPr>
      </w:pPr>
      <w:r>
        <w:rPr>
          <w:rFonts w:hint="eastAsia" w:ascii="宋体" w:hAnsi="宋体"/>
          <w:sz w:val="24"/>
          <w:highlight w:val="none"/>
        </w:rPr>
        <w:t>2.4.3采购人有权拒绝接受任何不合格的设备和服务，由此产生的费用及相关后果均由投标人自行承担；</w:t>
      </w:r>
    </w:p>
    <w:p>
      <w:pPr>
        <w:spacing w:after="120" w:afterLines="50" w:line="360" w:lineRule="auto"/>
        <w:rPr>
          <w:rFonts w:ascii="宋体" w:hAnsi="宋体"/>
          <w:sz w:val="24"/>
          <w:highlight w:val="none"/>
        </w:rPr>
      </w:pPr>
      <w:r>
        <w:rPr>
          <w:rFonts w:hint="eastAsia" w:ascii="宋体" w:hAnsi="宋体"/>
          <w:sz w:val="24"/>
          <w:highlight w:val="none"/>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sz w:val="24"/>
          <w:szCs w:val="24"/>
          <w:highlight w:val="none"/>
        </w:rPr>
      </w:pPr>
      <w:r>
        <w:rPr>
          <w:rFonts w:hint="eastAsia" w:ascii="宋体" w:hAnsi="宋体"/>
          <w:sz w:val="24"/>
          <w:szCs w:val="24"/>
          <w:highlight w:val="none"/>
        </w:rPr>
        <w:t>2.4.5卖方所提供货物的质量、性能、功能不符合合同规定标准的，买方有权拒收，因此产生的一切经济损失由卖方承担。</w:t>
      </w:r>
    </w:p>
    <w:p>
      <w:pPr>
        <w:pStyle w:val="144"/>
        <w:rPr>
          <w:highlight w:val="none"/>
          <w:lang w:val="en-US" w:eastAsia="zh-CN"/>
        </w:rPr>
      </w:pPr>
    </w:p>
    <w:p>
      <w:pPr>
        <w:spacing w:line="360" w:lineRule="auto"/>
        <w:rPr>
          <w:rFonts w:ascii="宋体" w:hAnsi="宋体"/>
          <w:b/>
          <w:bCs/>
          <w:sz w:val="24"/>
          <w:szCs w:val="24"/>
          <w:highlight w:val="none"/>
        </w:rPr>
      </w:pPr>
      <w:r>
        <w:rPr>
          <w:rFonts w:hint="eastAsia" w:ascii="宋体" w:hAnsi="宋体"/>
          <w:b/>
          <w:bCs/>
          <w:sz w:val="24"/>
          <w:szCs w:val="24"/>
          <w:highlight w:val="none"/>
        </w:rPr>
        <w:t>2.5售后服务要求：</w:t>
      </w:r>
    </w:p>
    <w:p>
      <w:pPr>
        <w:adjustRightInd w:val="0"/>
        <w:spacing w:line="360" w:lineRule="auto"/>
        <w:rPr>
          <w:rFonts w:ascii="宋体" w:hAnsi="宋体" w:cs="仿宋"/>
          <w:b/>
          <w:bCs/>
          <w:kern w:val="0"/>
          <w:sz w:val="24"/>
          <w:szCs w:val="24"/>
          <w:highlight w:val="none"/>
        </w:rPr>
      </w:pPr>
      <w:r>
        <w:rPr>
          <w:rFonts w:hint="eastAsia" w:ascii="宋体" w:hAnsi="宋体" w:cs="宋体"/>
          <w:b/>
          <w:bCs/>
          <w:sz w:val="24"/>
          <w:highlight w:val="none"/>
        </w:rPr>
        <w:t xml:space="preserve">2.5.1 </w:t>
      </w:r>
      <w:r>
        <w:rPr>
          <w:rFonts w:hint="eastAsia" w:ascii="宋体" w:hAnsi="宋体"/>
          <w:sz w:val="24"/>
          <w:szCs w:val="24"/>
          <w:highlight w:val="none"/>
        </w:rPr>
        <w:t>自本项目验收合格之日起，质保期</w:t>
      </w:r>
      <w:r>
        <w:rPr>
          <w:rFonts w:ascii="宋体" w:hAnsi="宋体"/>
          <w:sz w:val="24"/>
          <w:szCs w:val="24"/>
          <w:highlight w:val="none"/>
        </w:rPr>
        <w:t>36</w:t>
      </w:r>
      <w:r>
        <w:rPr>
          <w:rFonts w:hint="eastAsia" w:ascii="宋体" w:hAnsi="宋体"/>
          <w:sz w:val="24"/>
          <w:szCs w:val="24"/>
          <w:highlight w:val="none"/>
        </w:rPr>
        <w:t>个月（有特殊要求的从其要求）。</w:t>
      </w:r>
    </w:p>
    <w:p>
      <w:pPr>
        <w:spacing w:line="360" w:lineRule="auto"/>
        <w:rPr>
          <w:rFonts w:ascii="宋体" w:hAnsi="宋体" w:cs="仿宋"/>
          <w:b/>
          <w:bCs/>
          <w:kern w:val="0"/>
          <w:sz w:val="24"/>
          <w:szCs w:val="24"/>
          <w:highlight w:val="none"/>
        </w:rPr>
      </w:pPr>
      <w:r>
        <w:rPr>
          <w:rFonts w:hint="eastAsia" w:ascii="宋体" w:hAnsi="宋体" w:cs="仿宋"/>
          <w:b/>
          <w:bCs/>
          <w:kern w:val="0"/>
          <w:sz w:val="24"/>
          <w:szCs w:val="24"/>
          <w:highlight w:val="none"/>
        </w:rPr>
        <w:t>注：商务要求需在商务条款响应/偏离表中逐条响应，否则作无效标处理。</w:t>
      </w:r>
    </w:p>
    <w:p>
      <w:pPr>
        <w:pStyle w:val="38"/>
        <w:ind w:firstLine="562"/>
        <w:rPr>
          <w:rFonts w:ascii="黑体" w:hAnsi="黑体" w:eastAsia="黑体" w:cs="黑体"/>
          <w:b/>
          <w:bCs/>
          <w:sz w:val="28"/>
          <w:szCs w:val="24"/>
          <w:highlight w:val="none"/>
        </w:rPr>
        <w:sectPr>
          <w:footerReference r:id="rId13" w:type="default"/>
          <w:pgSz w:w="11907" w:h="16840"/>
          <w:pgMar w:top="1418" w:right="1418" w:bottom="1418" w:left="1418" w:header="737" w:footer="737" w:gutter="0"/>
          <w:cols w:space="720" w:num="1"/>
          <w:docGrid w:linePitch="312" w:charSpace="0"/>
        </w:sectPr>
      </w:pPr>
    </w:p>
    <w:p>
      <w:pPr>
        <w:spacing w:line="360" w:lineRule="auto"/>
        <w:ind w:firstLine="2891" w:firstLineChars="900"/>
        <w:jc w:val="left"/>
        <w:outlineLvl w:val="0"/>
        <w:rPr>
          <w:rFonts w:ascii="宋体" w:hAnsi="宋体"/>
          <w:b/>
          <w:bCs/>
          <w:sz w:val="32"/>
          <w:szCs w:val="32"/>
          <w:highlight w:val="none"/>
        </w:rPr>
      </w:pPr>
      <w:bookmarkStart w:id="92" w:name="_Toc29876"/>
      <w:r>
        <w:rPr>
          <w:rFonts w:hint="eastAsia" w:ascii="宋体" w:hAnsi="宋体"/>
          <w:b/>
          <w:bCs/>
          <w:sz w:val="32"/>
          <w:szCs w:val="32"/>
          <w:highlight w:val="none"/>
        </w:rPr>
        <w:t>第六章  评审标准</w:t>
      </w:r>
      <w:bookmarkEnd w:id="92"/>
    </w:p>
    <w:p>
      <w:pPr>
        <w:spacing w:line="360" w:lineRule="auto"/>
        <w:rPr>
          <w:rFonts w:ascii="宋体" w:hAnsi="宋体"/>
          <w:b/>
          <w:bCs/>
          <w:sz w:val="30"/>
          <w:szCs w:val="30"/>
          <w:highlight w:val="none"/>
        </w:rPr>
      </w:pPr>
      <w:bookmarkStart w:id="93" w:name="_Toc520958275"/>
      <w:bookmarkStart w:id="94" w:name="_Toc518573438"/>
      <w:bookmarkStart w:id="95" w:name="_Toc516734887"/>
      <w:r>
        <w:rPr>
          <w:rFonts w:hint="eastAsia" w:ascii="宋体" w:hAnsi="宋体"/>
          <w:b/>
          <w:bCs/>
          <w:sz w:val="30"/>
          <w:szCs w:val="30"/>
          <w:highlight w:val="none"/>
        </w:rPr>
        <w:t>一、资格性审查</w:t>
      </w:r>
      <w:bookmarkEnd w:id="93"/>
      <w:bookmarkEnd w:id="94"/>
      <w:bookmarkEnd w:id="95"/>
    </w:p>
    <w:p>
      <w:pPr>
        <w:spacing w:line="360" w:lineRule="auto"/>
        <w:rPr>
          <w:rFonts w:ascii="宋体" w:hAnsi="宋体"/>
          <w:sz w:val="24"/>
          <w:szCs w:val="24"/>
          <w:highlight w:val="none"/>
        </w:rPr>
      </w:pPr>
      <w:bookmarkStart w:id="96" w:name="_Toc518573439"/>
      <w:bookmarkStart w:id="97" w:name="_Toc516734888"/>
      <w:bookmarkStart w:id="98" w:name="_Toc520958276"/>
      <w:r>
        <w:rPr>
          <w:rFonts w:hint="eastAsia" w:ascii="宋体" w:hAnsi="宋体"/>
          <w:sz w:val="24"/>
          <w:szCs w:val="24"/>
          <w:highlight w:val="none"/>
        </w:rPr>
        <w:t>1.满足《中华人民共和国政府采购法》第二十二条规定；</w:t>
      </w:r>
    </w:p>
    <w:p>
      <w:pPr>
        <w:spacing w:line="360" w:lineRule="auto"/>
        <w:rPr>
          <w:rFonts w:ascii="宋体" w:hAnsi="宋体"/>
          <w:sz w:val="24"/>
          <w:szCs w:val="24"/>
          <w:highlight w:val="none"/>
        </w:rPr>
      </w:pPr>
      <w:r>
        <w:rPr>
          <w:rFonts w:hint="eastAsia" w:ascii="宋体" w:hAnsi="宋体"/>
          <w:sz w:val="24"/>
          <w:szCs w:val="24"/>
          <w:highlight w:val="none"/>
        </w:rPr>
        <w:t>1）具有独立承担民事责任的能力；</w:t>
      </w:r>
    </w:p>
    <w:p>
      <w:pPr>
        <w:spacing w:line="360" w:lineRule="auto"/>
        <w:rPr>
          <w:rFonts w:ascii="宋体" w:hAnsi="宋体"/>
          <w:sz w:val="24"/>
          <w:szCs w:val="24"/>
          <w:highlight w:val="none"/>
        </w:rPr>
      </w:pPr>
      <w:r>
        <w:rPr>
          <w:rFonts w:hint="eastAsia" w:ascii="宋体" w:hAnsi="宋体"/>
          <w:sz w:val="24"/>
          <w:szCs w:val="24"/>
          <w:highlight w:val="none"/>
        </w:rPr>
        <w:t>2）具有良好的商业信誉和健全的财务会计制度；</w:t>
      </w:r>
    </w:p>
    <w:p>
      <w:pPr>
        <w:spacing w:line="360" w:lineRule="auto"/>
        <w:rPr>
          <w:rFonts w:ascii="宋体" w:hAnsi="宋体"/>
          <w:sz w:val="24"/>
          <w:szCs w:val="24"/>
          <w:highlight w:val="none"/>
        </w:rPr>
      </w:pPr>
      <w:r>
        <w:rPr>
          <w:rFonts w:hint="eastAsia" w:ascii="宋体" w:hAnsi="宋体"/>
          <w:sz w:val="24"/>
          <w:szCs w:val="24"/>
          <w:highlight w:val="none"/>
        </w:rPr>
        <w:t>3）具有履行合同所必需的设备和专业技术能力；</w:t>
      </w:r>
    </w:p>
    <w:p>
      <w:pPr>
        <w:spacing w:line="360" w:lineRule="auto"/>
        <w:rPr>
          <w:rFonts w:ascii="宋体" w:hAnsi="宋体"/>
          <w:sz w:val="24"/>
          <w:szCs w:val="24"/>
          <w:highlight w:val="none"/>
        </w:rPr>
      </w:pPr>
      <w:r>
        <w:rPr>
          <w:rFonts w:hint="eastAsia" w:ascii="宋体" w:hAnsi="宋体"/>
          <w:sz w:val="24"/>
          <w:szCs w:val="24"/>
          <w:highlight w:val="none"/>
        </w:rPr>
        <w:t>4）具有依法缴纳税收和社会保障资金的良好记录；</w:t>
      </w:r>
    </w:p>
    <w:p>
      <w:pPr>
        <w:spacing w:line="360" w:lineRule="auto"/>
        <w:rPr>
          <w:rFonts w:ascii="宋体" w:hAnsi="宋体"/>
          <w:sz w:val="24"/>
          <w:szCs w:val="24"/>
          <w:highlight w:val="none"/>
        </w:rPr>
      </w:pPr>
      <w:r>
        <w:rPr>
          <w:rFonts w:hint="eastAsia" w:ascii="宋体" w:hAnsi="宋体"/>
          <w:sz w:val="24"/>
          <w:szCs w:val="24"/>
          <w:highlight w:val="none"/>
        </w:rPr>
        <w:t>5）参加政府采购活动前三年内，在经营活动中没有重大违法记录；</w:t>
      </w:r>
    </w:p>
    <w:p>
      <w:pPr>
        <w:spacing w:line="360" w:lineRule="auto"/>
        <w:rPr>
          <w:rFonts w:ascii="宋体" w:hAnsi="宋体"/>
          <w:sz w:val="24"/>
          <w:szCs w:val="24"/>
          <w:highlight w:val="none"/>
        </w:rPr>
      </w:pPr>
      <w:r>
        <w:rPr>
          <w:rFonts w:hint="eastAsia" w:ascii="宋体" w:hAnsi="宋体"/>
          <w:sz w:val="24"/>
          <w:szCs w:val="24"/>
          <w:highlight w:val="none"/>
        </w:rPr>
        <w:t>6）法律、行政法规规定的其他条件：无</w:t>
      </w:r>
    </w:p>
    <w:p>
      <w:pPr>
        <w:spacing w:line="360" w:lineRule="auto"/>
        <w:rPr>
          <w:rFonts w:ascii="宋体" w:hAnsi="宋体"/>
          <w:sz w:val="24"/>
          <w:szCs w:val="24"/>
          <w:highlight w:val="none"/>
        </w:rPr>
      </w:pPr>
      <w:r>
        <w:rPr>
          <w:rFonts w:hint="eastAsia" w:ascii="宋体" w:hAnsi="宋体"/>
          <w:sz w:val="24"/>
          <w:szCs w:val="24"/>
          <w:highlight w:val="none"/>
        </w:rPr>
        <w:t>2.本次招标不接受联合体投标。</w:t>
      </w:r>
    </w:p>
    <w:p>
      <w:pPr>
        <w:spacing w:line="360" w:lineRule="auto"/>
        <w:rPr>
          <w:rFonts w:ascii="宋体" w:hAnsi="宋体"/>
          <w:b/>
          <w:bCs/>
          <w:sz w:val="30"/>
          <w:szCs w:val="30"/>
          <w:highlight w:val="none"/>
        </w:rPr>
      </w:pPr>
      <w:r>
        <w:rPr>
          <w:rFonts w:hint="eastAsia" w:ascii="宋体" w:hAnsi="宋体"/>
          <w:b/>
          <w:bCs/>
          <w:sz w:val="30"/>
          <w:szCs w:val="30"/>
          <w:highlight w:val="none"/>
        </w:rPr>
        <w:t>二、符合性审查</w:t>
      </w:r>
      <w:bookmarkEnd w:id="96"/>
      <w:bookmarkEnd w:id="97"/>
      <w:bookmarkEnd w:id="98"/>
    </w:p>
    <w:p>
      <w:pPr>
        <w:spacing w:line="360" w:lineRule="auto"/>
        <w:rPr>
          <w:rFonts w:ascii="宋体" w:hAnsi="宋体"/>
          <w:sz w:val="24"/>
          <w:szCs w:val="24"/>
          <w:highlight w:val="none"/>
        </w:rPr>
      </w:pPr>
      <w:r>
        <w:rPr>
          <w:rFonts w:hint="eastAsia" w:ascii="宋体" w:hAnsi="宋体"/>
          <w:sz w:val="24"/>
          <w:szCs w:val="24"/>
          <w:highlight w:val="none"/>
        </w:rPr>
        <w:t>1、满足磋商响应性文件编制要求；</w:t>
      </w:r>
    </w:p>
    <w:p>
      <w:pPr>
        <w:spacing w:line="360" w:lineRule="auto"/>
        <w:rPr>
          <w:rFonts w:ascii="宋体" w:hAnsi="宋体"/>
          <w:sz w:val="24"/>
          <w:szCs w:val="24"/>
          <w:highlight w:val="none"/>
        </w:rPr>
      </w:pPr>
      <w:r>
        <w:rPr>
          <w:rFonts w:hint="eastAsia" w:ascii="宋体" w:hAnsi="宋体"/>
          <w:sz w:val="24"/>
          <w:szCs w:val="24"/>
          <w:highlight w:val="none"/>
        </w:rPr>
        <w:t>2、投标有效期须满足磋商文件要求；</w:t>
      </w:r>
    </w:p>
    <w:p>
      <w:pPr>
        <w:spacing w:line="360" w:lineRule="auto"/>
        <w:rPr>
          <w:rFonts w:ascii="宋体" w:hAnsi="宋体"/>
          <w:sz w:val="24"/>
          <w:szCs w:val="24"/>
          <w:highlight w:val="none"/>
        </w:rPr>
      </w:pPr>
      <w:r>
        <w:rPr>
          <w:rFonts w:hint="eastAsia" w:ascii="宋体" w:hAnsi="宋体"/>
          <w:sz w:val="24"/>
          <w:szCs w:val="24"/>
          <w:highlight w:val="none"/>
        </w:rPr>
        <w:t>3、须按</w:t>
      </w:r>
      <w:r>
        <w:rPr>
          <w:rFonts w:hint="eastAsia" w:ascii="宋体" w:hAnsi="宋体"/>
          <w:b/>
          <w:sz w:val="24"/>
          <w:szCs w:val="24"/>
          <w:highlight w:val="none"/>
        </w:rPr>
        <w:t>磋商文件</w:t>
      </w:r>
      <w:r>
        <w:rPr>
          <w:rFonts w:hint="eastAsia" w:ascii="宋体" w:hAnsi="宋体"/>
          <w:sz w:val="24"/>
          <w:szCs w:val="24"/>
          <w:highlight w:val="none"/>
        </w:rPr>
        <w:t>“第四章附件6”的规定提供资格证明文件；</w:t>
      </w:r>
    </w:p>
    <w:p>
      <w:pPr>
        <w:spacing w:line="360" w:lineRule="auto"/>
        <w:rPr>
          <w:rFonts w:ascii="宋体" w:hAnsi="宋体"/>
          <w:sz w:val="24"/>
          <w:szCs w:val="24"/>
          <w:highlight w:val="none"/>
        </w:rPr>
      </w:pPr>
      <w:r>
        <w:rPr>
          <w:rFonts w:hint="eastAsia" w:ascii="宋体" w:hAnsi="宋体"/>
          <w:sz w:val="24"/>
          <w:szCs w:val="24"/>
          <w:highlight w:val="none"/>
        </w:rPr>
        <w:t>4、须按</w:t>
      </w:r>
      <w:r>
        <w:rPr>
          <w:rFonts w:hint="eastAsia" w:ascii="宋体" w:hAnsi="宋体"/>
          <w:b/>
          <w:sz w:val="24"/>
          <w:szCs w:val="24"/>
          <w:highlight w:val="none"/>
        </w:rPr>
        <w:t>磋商文件</w:t>
      </w:r>
      <w:r>
        <w:rPr>
          <w:rFonts w:hint="eastAsia" w:ascii="宋体" w:hAnsi="宋体"/>
          <w:sz w:val="24"/>
          <w:szCs w:val="24"/>
          <w:highlight w:val="none"/>
        </w:rPr>
        <w:t>要求加盖单位公章，法人代表授权书应有法定代表人签字（签章）或签字（签章）人应有法定代表人有效委托；</w:t>
      </w:r>
    </w:p>
    <w:p>
      <w:pPr>
        <w:spacing w:line="360" w:lineRule="auto"/>
        <w:rPr>
          <w:rFonts w:ascii="宋体" w:hAnsi="宋体"/>
          <w:sz w:val="24"/>
          <w:szCs w:val="24"/>
          <w:highlight w:val="none"/>
        </w:rPr>
      </w:pPr>
      <w:r>
        <w:rPr>
          <w:rFonts w:hint="eastAsia" w:ascii="宋体" w:hAnsi="宋体"/>
          <w:sz w:val="24"/>
          <w:szCs w:val="24"/>
          <w:highlight w:val="none"/>
        </w:rPr>
        <w:t>5、磋商响应性文件中的响应必须与事实相符，不得有虚假投标；</w:t>
      </w:r>
    </w:p>
    <w:p>
      <w:pPr>
        <w:spacing w:line="360" w:lineRule="auto"/>
        <w:rPr>
          <w:rFonts w:ascii="宋体" w:hAnsi="宋体"/>
          <w:sz w:val="24"/>
          <w:szCs w:val="24"/>
          <w:highlight w:val="none"/>
        </w:rPr>
      </w:pPr>
      <w:r>
        <w:rPr>
          <w:rFonts w:hint="eastAsia" w:ascii="宋体" w:hAnsi="宋体"/>
          <w:sz w:val="24"/>
          <w:szCs w:val="24"/>
          <w:highlight w:val="none"/>
        </w:rPr>
        <w:t>6、不得提交可调整报价；</w:t>
      </w:r>
    </w:p>
    <w:p>
      <w:pPr>
        <w:spacing w:line="360" w:lineRule="auto"/>
        <w:rPr>
          <w:rFonts w:ascii="宋体" w:hAnsi="宋体"/>
          <w:bCs/>
          <w:sz w:val="24"/>
          <w:szCs w:val="24"/>
          <w:highlight w:val="none"/>
        </w:rPr>
      </w:pPr>
      <w:r>
        <w:rPr>
          <w:rFonts w:hint="eastAsia" w:ascii="宋体" w:hAnsi="宋体"/>
          <w:bCs/>
          <w:sz w:val="24"/>
          <w:szCs w:val="24"/>
          <w:highlight w:val="none"/>
        </w:rPr>
        <w:t>7、</w:t>
      </w:r>
      <w:r>
        <w:rPr>
          <w:rFonts w:hint="eastAsia" w:ascii="宋体" w:hAnsi="宋体"/>
          <w:sz w:val="24"/>
          <w:szCs w:val="24"/>
          <w:highlight w:val="none"/>
        </w:rPr>
        <w:t>不得有</w:t>
      </w:r>
      <w:r>
        <w:rPr>
          <w:rFonts w:hint="eastAsia" w:ascii="宋体" w:hAnsi="宋体"/>
          <w:b/>
          <w:sz w:val="24"/>
          <w:szCs w:val="24"/>
          <w:highlight w:val="none"/>
        </w:rPr>
        <w:t>磋商文件</w:t>
      </w:r>
      <w:r>
        <w:rPr>
          <w:rFonts w:hint="eastAsia" w:ascii="宋体" w:hAnsi="宋体"/>
          <w:sz w:val="24"/>
          <w:szCs w:val="24"/>
          <w:highlight w:val="none"/>
        </w:rPr>
        <w:t>规定的其它无效投标情形</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8、须满足</w:t>
      </w:r>
      <w:r>
        <w:rPr>
          <w:rFonts w:hint="eastAsia" w:ascii="宋体" w:hAnsi="宋体"/>
          <w:b/>
          <w:sz w:val="24"/>
          <w:szCs w:val="24"/>
          <w:highlight w:val="none"/>
        </w:rPr>
        <w:t>磋商文件</w:t>
      </w:r>
      <w:r>
        <w:rPr>
          <w:rFonts w:hint="eastAsia" w:ascii="宋体" w:hAnsi="宋体"/>
          <w:bCs/>
          <w:sz w:val="24"/>
          <w:szCs w:val="24"/>
          <w:highlight w:val="none"/>
        </w:rPr>
        <w:t>中合同主要条款</w:t>
      </w:r>
      <w:r>
        <w:rPr>
          <w:rFonts w:hint="eastAsia" w:ascii="宋体" w:hAnsi="宋体"/>
          <w:sz w:val="24"/>
          <w:szCs w:val="24"/>
          <w:highlight w:val="none"/>
        </w:rPr>
        <w:t>的要求</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sz w:val="24"/>
          <w:szCs w:val="24"/>
          <w:highlight w:val="none"/>
        </w:rPr>
        <w:t>9、</w:t>
      </w:r>
      <w:r>
        <w:rPr>
          <w:rFonts w:hint="eastAsia" w:ascii="宋体" w:hAnsi="宋体"/>
          <w:bCs/>
          <w:sz w:val="24"/>
          <w:szCs w:val="24"/>
          <w:highlight w:val="none"/>
        </w:rPr>
        <w:t>须满足</w:t>
      </w:r>
      <w:r>
        <w:rPr>
          <w:rFonts w:hint="eastAsia" w:ascii="宋体" w:hAnsi="宋体"/>
          <w:b/>
          <w:sz w:val="24"/>
          <w:szCs w:val="24"/>
          <w:highlight w:val="none"/>
        </w:rPr>
        <w:t>磋商文件</w:t>
      </w:r>
      <w:r>
        <w:rPr>
          <w:rFonts w:hint="eastAsia" w:ascii="宋体" w:hAnsi="宋体"/>
          <w:sz w:val="24"/>
          <w:szCs w:val="24"/>
          <w:highlight w:val="none"/>
        </w:rPr>
        <w:t>中的付款方式，否则投标无效</w:t>
      </w:r>
      <w:r>
        <w:rPr>
          <w:rFonts w:hint="eastAsia" w:ascii="宋体" w:hAnsi="宋体"/>
          <w:bCs/>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10、须满足磋商文件中：“第五章 采购项目服务需求”的服务要求。</w:t>
      </w:r>
    </w:p>
    <w:p>
      <w:pPr>
        <w:spacing w:line="360" w:lineRule="auto"/>
        <w:rPr>
          <w:rFonts w:ascii="宋体" w:hAnsi="宋体"/>
          <w:b/>
          <w:bCs/>
          <w:sz w:val="32"/>
          <w:szCs w:val="32"/>
          <w:highlight w:val="none"/>
        </w:rPr>
      </w:pPr>
      <w:r>
        <w:rPr>
          <w:rFonts w:hint="eastAsia" w:ascii="宋体" w:hAnsi="宋体"/>
          <w:b/>
          <w:bCs/>
          <w:sz w:val="32"/>
          <w:szCs w:val="32"/>
          <w:highlight w:val="none"/>
        </w:rPr>
        <w:t>三、评审标准</w:t>
      </w:r>
    </w:p>
    <w:p>
      <w:pPr>
        <w:spacing w:line="360" w:lineRule="auto"/>
        <w:rPr>
          <w:rFonts w:ascii="宋体" w:hAnsi="宋体"/>
          <w:sz w:val="28"/>
          <w:szCs w:val="28"/>
          <w:highlight w:val="none"/>
          <w:lang w:val="zh-CN"/>
        </w:rPr>
      </w:pPr>
      <w:bookmarkStart w:id="99" w:name="_Toc444010476"/>
      <w:bookmarkStart w:id="100" w:name="_Toc518573440"/>
      <w:bookmarkStart w:id="101" w:name="_Toc516734889"/>
      <w:bookmarkStart w:id="102" w:name="_Toc520958277"/>
      <w:r>
        <w:rPr>
          <w:rFonts w:hint="eastAsia" w:ascii="宋体" w:hAnsi="宋体"/>
          <w:sz w:val="28"/>
          <w:szCs w:val="28"/>
          <w:highlight w:val="none"/>
          <w:lang w:val="zh-CN"/>
        </w:rPr>
        <w:t>(一)、磋商安排</w:t>
      </w:r>
      <w:bookmarkEnd w:id="99"/>
      <w:bookmarkEnd w:id="100"/>
      <w:bookmarkEnd w:id="101"/>
      <w:bookmarkEnd w:id="102"/>
    </w:p>
    <w:p>
      <w:pPr>
        <w:pStyle w:val="21"/>
        <w:spacing w:line="360" w:lineRule="auto"/>
        <w:ind w:left="474" w:hanging="474" w:hangingChars="207"/>
        <w:rPr>
          <w:rFonts w:hAnsi="宋体"/>
          <w:spacing w:val="-6"/>
          <w:szCs w:val="28"/>
          <w:highlight w:val="none"/>
        </w:rPr>
      </w:pPr>
      <w:r>
        <w:rPr>
          <w:rFonts w:hint="eastAsia" w:hAnsi="宋体"/>
          <w:b/>
          <w:spacing w:val="-6"/>
          <w:szCs w:val="28"/>
          <w:highlight w:val="none"/>
        </w:rPr>
        <w:t>1.1磋商小组：</w:t>
      </w:r>
      <w:r>
        <w:rPr>
          <w:rFonts w:hint="eastAsia" w:hAnsi="宋体"/>
          <w:spacing w:val="-6"/>
          <w:szCs w:val="28"/>
          <w:highlight w:val="none"/>
        </w:rPr>
        <w:t>本次磋商由采购单位组建磋商小组，磋商小组成员5人及以上单数。</w:t>
      </w:r>
    </w:p>
    <w:p>
      <w:pPr>
        <w:pStyle w:val="21"/>
        <w:spacing w:line="360" w:lineRule="auto"/>
        <w:rPr>
          <w:rFonts w:hAnsi="宋体"/>
          <w:spacing w:val="-6"/>
          <w:szCs w:val="28"/>
          <w:highlight w:val="none"/>
        </w:rPr>
      </w:pPr>
      <w:r>
        <w:rPr>
          <w:rFonts w:hint="eastAsia" w:hAnsi="宋体"/>
          <w:b/>
          <w:spacing w:val="-6"/>
          <w:szCs w:val="28"/>
          <w:highlight w:val="none"/>
        </w:rPr>
        <w:t>1.2评标步骤</w:t>
      </w:r>
      <w:r>
        <w:rPr>
          <w:rFonts w:hint="eastAsia" w:hAnsi="宋体"/>
          <w:spacing w:val="-6"/>
          <w:szCs w:val="28"/>
          <w:highlight w:val="none"/>
        </w:rPr>
        <w:t>：磋商小组对各供应商的磋商响应文件认真审阅，确定磋商内容，并进行初审包括资格审查和符合性审查。</w:t>
      </w:r>
    </w:p>
    <w:p>
      <w:pPr>
        <w:spacing w:line="360" w:lineRule="auto"/>
        <w:ind w:left="482" w:hanging="482" w:hangingChars="200"/>
        <w:rPr>
          <w:rFonts w:ascii="宋体" w:hAnsi="宋体"/>
          <w:b/>
          <w:kern w:val="0"/>
          <w:sz w:val="24"/>
          <w:szCs w:val="28"/>
          <w:highlight w:val="none"/>
        </w:rPr>
      </w:pPr>
      <w:r>
        <w:rPr>
          <w:rFonts w:hint="eastAsia" w:ascii="宋体" w:hAnsi="宋体"/>
          <w:b/>
          <w:kern w:val="0"/>
          <w:sz w:val="24"/>
          <w:szCs w:val="28"/>
          <w:highlight w:val="none"/>
        </w:rPr>
        <w:t>1.3磋商：</w:t>
      </w:r>
    </w:p>
    <w:p>
      <w:pPr>
        <w:spacing w:line="360" w:lineRule="auto"/>
        <w:rPr>
          <w:rFonts w:ascii="宋体" w:hAnsi="宋体"/>
          <w:sz w:val="24"/>
          <w:highlight w:val="none"/>
          <w:lang w:val="en-GB"/>
        </w:rPr>
      </w:pPr>
      <w:r>
        <w:rPr>
          <w:rFonts w:hint="eastAsia" w:ascii="宋体" w:hAnsi="宋体"/>
          <w:kern w:val="0"/>
          <w:sz w:val="24"/>
          <w:szCs w:val="28"/>
          <w:highlight w:val="none"/>
        </w:rPr>
        <w:t>1.3.1</w:t>
      </w:r>
      <w:r>
        <w:rPr>
          <w:rFonts w:hint="eastAsia" w:ascii="宋体" w:hAnsi="宋体"/>
          <w:sz w:val="24"/>
          <w:highlight w:val="none"/>
        </w:rPr>
        <w:t>磋商小组</w:t>
      </w:r>
      <w:r>
        <w:rPr>
          <w:rFonts w:hint="eastAsia" w:ascii="宋体" w:hAnsi="宋体"/>
          <w:sz w:val="24"/>
          <w:highlight w:val="none"/>
          <w:lang w:val="en-GB"/>
        </w:rPr>
        <w:t>按照递交磋商响应文件的先后顺序，与通过初审的供应商分别进行技术和商务上的磋商。</w:t>
      </w:r>
    </w:p>
    <w:p>
      <w:pPr>
        <w:spacing w:line="360" w:lineRule="auto"/>
        <w:rPr>
          <w:rFonts w:ascii="宋体" w:hAnsi="宋体"/>
          <w:sz w:val="24"/>
          <w:highlight w:val="none"/>
          <w:lang w:val="en-GB"/>
        </w:rPr>
      </w:pPr>
      <w:r>
        <w:rPr>
          <w:rFonts w:hint="eastAsia" w:ascii="宋体" w:hAnsi="宋体"/>
          <w:sz w:val="24"/>
          <w:highlight w:val="none"/>
          <w:lang w:val="en-GB"/>
        </w:rPr>
        <w:t>1.3.2磋商双方可就技术、商务、价格内容按要求进行变更、补充完善，变更、补充完善的最终内容由其授权的代表签字，并作为评审的依据。</w:t>
      </w:r>
    </w:p>
    <w:p>
      <w:pPr>
        <w:spacing w:line="360" w:lineRule="auto"/>
        <w:rPr>
          <w:rFonts w:ascii="宋体" w:hAnsi="宋体"/>
          <w:sz w:val="24"/>
          <w:highlight w:val="none"/>
        </w:rPr>
      </w:pPr>
      <w:r>
        <w:rPr>
          <w:rFonts w:hint="eastAsia" w:ascii="宋体" w:hAnsi="宋体"/>
          <w:sz w:val="24"/>
          <w:highlight w:val="none"/>
          <w:lang w:val="en-GB"/>
        </w:rPr>
        <w:t>1.3.3</w:t>
      </w:r>
      <w:r>
        <w:rPr>
          <w:rFonts w:hint="eastAsia" w:ascii="宋体" w:hAnsi="宋体"/>
          <w:sz w:val="24"/>
          <w:highlight w:val="none"/>
        </w:rPr>
        <w:t>磋商文件有实质性变动的，磋商小组应当以书面形式通知所有参加磋商的响应供应商。</w:t>
      </w:r>
    </w:p>
    <w:p>
      <w:pPr>
        <w:spacing w:line="360" w:lineRule="auto"/>
        <w:rPr>
          <w:rFonts w:ascii="宋体" w:hAnsi="宋体"/>
          <w:sz w:val="24"/>
          <w:highlight w:val="none"/>
        </w:rPr>
      </w:pPr>
      <w:r>
        <w:rPr>
          <w:rFonts w:hint="eastAsia" w:ascii="宋体" w:hAnsi="宋体"/>
          <w:sz w:val="24"/>
          <w:highlight w:val="none"/>
        </w:rPr>
        <w:t>1.3.4技术、商务磋商结束后，磋商小组应当要求所有参加磋商的响应供应商在规定时间内进行最终报价（第二轮报价即为最终报价）。</w:t>
      </w:r>
      <w:r>
        <w:rPr>
          <w:rFonts w:hint="eastAsia" w:ascii="宋体" w:hAnsi="宋体"/>
          <w:sz w:val="24"/>
          <w:highlight w:val="none"/>
          <w:lang w:val="en-GB"/>
        </w:rPr>
        <w:t>最终报价即为合同成交价。最终报价计算报价得分。</w:t>
      </w:r>
    </w:p>
    <w:p>
      <w:pPr>
        <w:spacing w:line="360" w:lineRule="auto"/>
        <w:rPr>
          <w:rFonts w:ascii="宋体" w:hAnsi="宋体"/>
          <w:sz w:val="24"/>
          <w:highlight w:val="none"/>
        </w:rPr>
      </w:pPr>
      <w:r>
        <w:rPr>
          <w:rFonts w:hint="eastAsia" w:ascii="宋体" w:hAnsi="宋体"/>
          <w:sz w:val="24"/>
          <w:highlight w:val="none"/>
        </w:rPr>
        <w:t>1.3.5在磋商文件没有实质性变动的情况下，响应供应商的后一轮报价不能高于其前一轮报价，否则其后一轮报价无效。</w:t>
      </w:r>
    </w:p>
    <w:p>
      <w:pPr>
        <w:spacing w:line="360" w:lineRule="auto"/>
        <w:rPr>
          <w:rFonts w:ascii="宋体" w:hAnsi="宋体"/>
          <w:sz w:val="24"/>
          <w:szCs w:val="28"/>
          <w:highlight w:val="none"/>
        </w:rPr>
      </w:pPr>
      <w:r>
        <w:rPr>
          <w:rFonts w:hint="eastAsia" w:ascii="宋体" w:hAnsi="宋体"/>
          <w:sz w:val="24"/>
          <w:highlight w:val="none"/>
        </w:rPr>
        <w:t>1.3.6磋商开始到成交供应商确定后，采购单位、采购代理、磋商小组、</w:t>
      </w:r>
      <w:r>
        <w:rPr>
          <w:rFonts w:hint="eastAsia" w:ascii="宋体" w:hAnsi="宋体"/>
          <w:spacing w:val="-6"/>
          <w:sz w:val="24"/>
          <w:szCs w:val="28"/>
          <w:highlight w:val="none"/>
        </w:rPr>
        <w:t>供应商</w:t>
      </w:r>
      <w:r>
        <w:rPr>
          <w:rFonts w:hint="eastAsia" w:ascii="宋体" w:hAnsi="宋体"/>
          <w:sz w:val="24"/>
          <w:highlight w:val="none"/>
        </w:rPr>
        <w:t>要严格遵循保密原则，任何一方不得透露与磋商有关的其他</w:t>
      </w:r>
      <w:r>
        <w:rPr>
          <w:rFonts w:hint="eastAsia" w:ascii="宋体" w:hAnsi="宋体"/>
          <w:spacing w:val="-6"/>
          <w:sz w:val="24"/>
          <w:szCs w:val="28"/>
          <w:highlight w:val="none"/>
        </w:rPr>
        <w:t>供应商</w:t>
      </w:r>
      <w:r>
        <w:rPr>
          <w:rFonts w:hint="eastAsia" w:ascii="宋体" w:hAnsi="宋体"/>
          <w:sz w:val="24"/>
          <w:highlight w:val="none"/>
        </w:rPr>
        <w:t>的技术资料、磋商报价及其它信息。否则，按相关法规进行相应的处罚。</w:t>
      </w:r>
    </w:p>
    <w:p>
      <w:pPr>
        <w:widowControl/>
        <w:spacing w:line="360" w:lineRule="auto"/>
        <w:jc w:val="left"/>
        <w:rPr>
          <w:rFonts w:ascii="宋体" w:hAnsi="宋体"/>
          <w:sz w:val="24"/>
          <w:szCs w:val="28"/>
          <w:highlight w:val="none"/>
        </w:rPr>
      </w:pPr>
      <w:r>
        <w:rPr>
          <w:rFonts w:hint="eastAsia" w:ascii="宋体" w:hAnsi="宋体"/>
          <w:b/>
          <w:sz w:val="24"/>
          <w:szCs w:val="28"/>
          <w:highlight w:val="none"/>
        </w:rPr>
        <w:t>1.4 磋商文件的修正：</w:t>
      </w:r>
      <w:r>
        <w:rPr>
          <w:rFonts w:hint="eastAsia" w:ascii="宋体" w:hAnsi="宋体"/>
          <w:sz w:val="24"/>
          <w:szCs w:val="28"/>
          <w:highlight w:val="none"/>
        </w:rPr>
        <w:t>磋商小组调整或修改采购需求内容时，应取得磋商小组的一致同意，并以书面形式通知所有参加磋商的供应商。但任何形式的决定须以符合公平、公正原则和有利于项目的顺利实施为前提。</w:t>
      </w:r>
      <w:r>
        <w:rPr>
          <w:rFonts w:hint="eastAsia" w:ascii="宋体" w:hAnsi="宋体"/>
          <w:kern w:val="0"/>
          <w:sz w:val="24"/>
          <w:szCs w:val="28"/>
          <w:highlight w:val="none"/>
        </w:rPr>
        <w:t xml:space="preserve"> </w:t>
      </w:r>
    </w:p>
    <w:p>
      <w:pPr>
        <w:tabs>
          <w:tab w:val="left" w:pos="720"/>
          <w:tab w:val="left" w:pos="3960"/>
        </w:tabs>
        <w:spacing w:line="360" w:lineRule="auto"/>
        <w:rPr>
          <w:rFonts w:ascii="宋体" w:hAnsi="宋体"/>
          <w:sz w:val="24"/>
          <w:highlight w:val="none"/>
        </w:rPr>
      </w:pPr>
      <w:r>
        <w:rPr>
          <w:rFonts w:hint="eastAsia" w:ascii="宋体" w:hAnsi="宋体"/>
          <w:b/>
          <w:kern w:val="0"/>
          <w:sz w:val="24"/>
          <w:szCs w:val="28"/>
          <w:highlight w:val="none"/>
        </w:rPr>
        <w:t>1.5 评价与计分：对</w:t>
      </w:r>
      <w:r>
        <w:rPr>
          <w:rFonts w:hint="eastAsia" w:ascii="宋体" w:hAnsi="宋体"/>
          <w:b/>
          <w:sz w:val="24"/>
          <w:szCs w:val="24"/>
          <w:highlight w:val="none"/>
        </w:rPr>
        <w:t>各磋商响应文件根据评审标准进行打分，由磋商小组根据供应商得分由高到低顺序推荐3名中标候选排序。</w:t>
      </w:r>
    </w:p>
    <w:p>
      <w:pPr>
        <w:tabs>
          <w:tab w:val="left" w:pos="720"/>
          <w:tab w:val="left" w:pos="3960"/>
        </w:tabs>
        <w:spacing w:line="360" w:lineRule="auto"/>
        <w:rPr>
          <w:rFonts w:ascii="宋体" w:hAnsi="宋体"/>
          <w:kern w:val="0"/>
          <w:sz w:val="24"/>
          <w:szCs w:val="28"/>
          <w:highlight w:val="none"/>
        </w:rPr>
      </w:pPr>
      <w:r>
        <w:rPr>
          <w:rFonts w:hint="eastAsia" w:ascii="宋体" w:hAnsi="宋体"/>
          <w:b/>
          <w:kern w:val="0"/>
          <w:sz w:val="24"/>
          <w:szCs w:val="28"/>
          <w:highlight w:val="none"/>
        </w:rPr>
        <w:t>1.6</w:t>
      </w:r>
      <w:r>
        <w:rPr>
          <w:rFonts w:hint="eastAsia" w:ascii="宋体" w:hAnsi="宋体"/>
          <w:kern w:val="0"/>
          <w:sz w:val="24"/>
          <w:szCs w:val="28"/>
          <w:highlight w:val="none"/>
        </w:rPr>
        <w:t xml:space="preserve"> 在磋商过程中，响应供应商提交的澄清文件和最终报价文件，由响应供应商法人代表或授权代表签署后生效，响应供应商应受其约束。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kern w:val="0"/>
          <w:sz w:val="24"/>
          <w:szCs w:val="28"/>
          <w:highlight w:val="none"/>
        </w:rPr>
      </w:pPr>
      <w:r>
        <w:rPr>
          <w:rFonts w:hint="eastAsia" w:ascii="宋体" w:hAnsi="宋体"/>
          <w:b/>
          <w:kern w:val="0"/>
          <w:sz w:val="24"/>
          <w:szCs w:val="28"/>
          <w:highlight w:val="none"/>
        </w:rPr>
        <w:t xml:space="preserve">1.7 </w:t>
      </w:r>
      <w:r>
        <w:rPr>
          <w:rFonts w:hint="eastAsia" w:ascii="宋体" w:hAnsi="宋体"/>
          <w:kern w:val="0"/>
          <w:sz w:val="24"/>
          <w:szCs w:val="28"/>
          <w:highlight w:val="none"/>
        </w:rPr>
        <w:t>采购代理单位对磋商过程和重要磋商内容进行记录。</w:t>
      </w:r>
      <w:bookmarkStart w:id="103" w:name="_Toc444010477"/>
    </w:p>
    <w:p>
      <w:pPr>
        <w:tabs>
          <w:tab w:val="left" w:pos="720"/>
          <w:tab w:val="left" w:pos="3960"/>
        </w:tabs>
        <w:spacing w:line="360" w:lineRule="auto"/>
        <w:rPr>
          <w:rFonts w:ascii="宋体" w:hAnsi="宋体"/>
          <w:kern w:val="0"/>
          <w:sz w:val="24"/>
          <w:szCs w:val="28"/>
          <w:highlight w:val="none"/>
        </w:rPr>
      </w:pPr>
    </w:p>
    <w:p>
      <w:pPr>
        <w:spacing w:line="360" w:lineRule="auto"/>
        <w:rPr>
          <w:rFonts w:ascii="宋体" w:hAnsi="宋体"/>
          <w:sz w:val="24"/>
          <w:szCs w:val="24"/>
          <w:highlight w:val="none"/>
        </w:rPr>
        <w:sectPr>
          <w:pgSz w:w="11907" w:h="16840"/>
          <w:pgMar w:top="1418" w:right="1418" w:bottom="1418" w:left="1418" w:header="737" w:footer="737" w:gutter="0"/>
          <w:cols w:space="720" w:num="1"/>
          <w:docGrid w:linePitch="312" w:charSpace="0"/>
        </w:sectPr>
      </w:pPr>
    </w:p>
    <w:p>
      <w:pPr>
        <w:spacing w:line="360" w:lineRule="auto"/>
        <w:rPr>
          <w:rFonts w:ascii="宋体" w:hAnsi="宋体"/>
          <w:sz w:val="28"/>
          <w:szCs w:val="28"/>
          <w:highlight w:val="none"/>
          <w:lang w:val="zh-CN"/>
        </w:rPr>
      </w:pPr>
      <w:r>
        <w:rPr>
          <w:rFonts w:hint="eastAsia" w:ascii="宋体" w:hAnsi="宋体"/>
          <w:sz w:val="28"/>
          <w:szCs w:val="28"/>
          <w:highlight w:val="none"/>
          <w:lang w:val="zh-CN"/>
        </w:rPr>
        <w:t>(二)、竞争性磋商评分标准</w:t>
      </w:r>
      <w:bookmarkEnd w:id="103"/>
      <w:r>
        <w:rPr>
          <w:rFonts w:hint="eastAsia" w:ascii="宋体" w:hAnsi="宋体"/>
          <w:sz w:val="28"/>
          <w:szCs w:val="28"/>
          <w:highlight w:val="none"/>
          <w:lang w:val="zh-CN"/>
        </w:rPr>
        <w:t>（满分100分）</w:t>
      </w:r>
    </w:p>
    <w:tbl>
      <w:tblPr>
        <w:tblStyle w:val="39"/>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2"/>
        <w:gridCol w:w="1654"/>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1</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价格分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(30分)</w:t>
            </w:r>
          </w:p>
        </w:tc>
        <w:tc>
          <w:tcPr>
            <w:tcW w:w="7753" w:type="dxa"/>
            <w:gridSpan w:val="2"/>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价格分的计算：</w:t>
            </w:r>
          </w:p>
          <w:p>
            <w:pPr>
              <w:widowControl/>
              <w:spacing w:line="360" w:lineRule="auto"/>
              <w:jc w:val="left"/>
              <w:rPr>
                <w:rFonts w:ascii="宋体" w:hAnsi="宋体" w:cs="宋体"/>
                <w:kern w:val="0"/>
                <w:sz w:val="24"/>
                <w:highlight w:val="none"/>
              </w:rPr>
            </w:pPr>
            <w:r>
              <w:rPr>
                <w:rFonts w:ascii="宋体" w:hAnsi="宋体" w:cs="宋体"/>
                <w:kern w:val="0"/>
                <w:sz w:val="24"/>
                <w:highlight w:val="none"/>
              </w:rPr>
              <w:t>投标报价得分=(评标基准价／投标报价)×30</w:t>
            </w:r>
          </w:p>
          <w:p>
            <w:pPr>
              <w:widowControl/>
              <w:spacing w:line="360" w:lineRule="auto"/>
              <w:jc w:val="left"/>
              <w:rPr>
                <w:rFonts w:ascii="宋体" w:hAnsi="宋体" w:cs="宋体"/>
                <w:b/>
                <w:kern w:val="0"/>
                <w:sz w:val="24"/>
                <w:highlight w:val="none"/>
              </w:rPr>
            </w:pPr>
            <w:r>
              <w:rPr>
                <w:rFonts w:ascii="宋体" w:hAnsi="宋体" w:cs="宋体"/>
                <w:kern w:val="0"/>
                <w:sz w:val="24"/>
                <w:highlight w:val="none"/>
              </w:rPr>
              <w:t>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2</w:t>
            </w:r>
          </w:p>
        </w:tc>
        <w:tc>
          <w:tcPr>
            <w:tcW w:w="119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技术分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(50分）</w:t>
            </w:r>
          </w:p>
        </w:tc>
        <w:tc>
          <w:tcPr>
            <w:tcW w:w="1654"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主要技术指标</w:t>
            </w:r>
          </w:p>
          <w:p>
            <w:pPr>
              <w:widowControl/>
              <w:spacing w:line="360" w:lineRule="auto"/>
              <w:jc w:val="center"/>
              <w:rPr>
                <w:rFonts w:ascii="宋体" w:hAnsi="宋体" w:cs="宋体"/>
                <w:kern w:val="0"/>
                <w:sz w:val="24"/>
                <w:highlight w:val="none"/>
              </w:rPr>
            </w:pPr>
            <w:r>
              <w:rPr>
                <w:rFonts w:ascii="宋体" w:hAnsi="宋体" w:cs="宋体"/>
                <w:kern w:val="0"/>
                <w:sz w:val="24"/>
                <w:highlight w:val="none"/>
              </w:rPr>
              <w:t>（20分）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全部响应磋商文件技术（参数）要求的得20分，有一项负偏离得0分。</w:t>
            </w:r>
          </w:p>
          <w:p>
            <w:pPr>
              <w:widowControl/>
              <w:spacing w:line="360" w:lineRule="auto"/>
              <w:jc w:val="left"/>
              <w:rPr>
                <w:rFonts w:ascii="宋体" w:hAnsi="宋体" w:cs="宋体"/>
                <w:kern w:val="0"/>
                <w:sz w:val="24"/>
                <w:highlight w:val="none"/>
              </w:rPr>
            </w:pPr>
            <w:r>
              <w:rPr>
                <w:rFonts w:ascii="宋体" w:hAnsi="宋体" w:cs="宋体"/>
                <w:b/>
                <w:bCs/>
                <w:kern w:val="0"/>
                <w:sz w:val="24"/>
                <w:highlight w:val="none"/>
              </w:rPr>
              <w:t>（评分依据：供应商提供针对此项目的技术（参数）响应/偏离表）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192"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654"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实施方案（30分）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highlight w:val="none"/>
              </w:rPr>
            </w:pPr>
            <w:r>
              <w:rPr>
                <w:rFonts w:ascii="宋体" w:hAnsi="宋体" w:cs="宋体"/>
                <w:kern w:val="0"/>
                <w:sz w:val="24"/>
                <w:highlight w:val="none"/>
              </w:rPr>
              <w:t>根据投标投标人对需求理解与分析、总体设计方案、主要功能点响应、施工组织的情况综合评定，优26~30分、良20~25 、中15~19、差0~14分；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724"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3</w:t>
            </w:r>
          </w:p>
        </w:tc>
        <w:tc>
          <w:tcPr>
            <w:tcW w:w="1192"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商务分</w:t>
            </w:r>
          </w:p>
          <w:p>
            <w:pPr>
              <w:widowControl/>
              <w:spacing w:line="360" w:lineRule="auto"/>
              <w:jc w:val="center"/>
              <w:rPr>
                <w:rFonts w:ascii="宋体" w:hAnsi="宋体" w:cs="宋体"/>
                <w:b/>
                <w:kern w:val="0"/>
                <w:sz w:val="24"/>
                <w:highlight w:val="none"/>
              </w:rPr>
            </w:pPr>
            <w:r>
              <w:rPr>
                <w:rFonts w:ascii="宋体" w:hAnsi="宋体" w:cs="宋体"/>
                <w:b/>
                <w:kern w:val="0"/>
                <w:sz w:val="24"/>
                <w:highlight w:val="none"/>
              </w:rPr>
              <w:t>（20分）</w:t>
            </w:r>
          </w:p>
        </w:tc>
        <w:tc>
          <w:tcPr>
            <w:tcW w:w="1654" w:type="dxa"/>
            <w:tcBorders>
              <w:left w:val="single" w:color="auto" w:sz="4" w:space="0"/>
              <w:right w:val="single" w:color="auto" w:sz="4" w:space="0"/>
            </w:tcBorders>
            <w:vAlign w:val="center"/>
          </w:tcPr>
          <w:p>
            <w:pPr>
              <w:widowControl/>
              <w:spacing w:line="360" w:lineRule="auto"/>
              <w:ind w:left="7" w:leftChars="-27" w:hanging="64" w:hangingChars="27"/>
              <w:jc w:val="center"/>
              <w:rPr>
                <w:rFonts w:ascii="宋体" w:hAnsi="宋体" w:cs="宋体"/>
                <w:kern w:val="0"/>
                <w:sz w:val="24"/>
                <w:highlight w:val="none"/>
              </w:rPr>
            </w:pPr>
            <w:r>
              <w:rPr>
                <w:rFonts w:ascii="宋体" w:hAnsi="宋体" w:cs="宋体"/>
                <w:kern w:val="0"/>
                <w:sz w:val="24"/>
                <w:highlight w:val="none"/>
              </w:rPr>
              <w:t>商务评分（10分）</w:t>
            </w:r>
          </w:p>
        </w:tc>
        <w:tc>
          <w:tcPr>
            <w:tcW w:w="6099"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highlight w:val="none"/>
              </w:rPr>
            </w:pPr>
            <w:r>
              <w:rPr>
                <w:rFonts w:ascii="宋体" w:hAnsi="宋体" w:cs="宋体"/>
                <w:kern w:val="0"/>
                <w:sz w:val="24"/>
                <w:highlight w:val="none"/>
              </w:rPr>
              <w:t>全部响应磋商文件商务要求的得10分，有一项负偏离得0分。</w:t>
            </w:r>
          </w:p>
          <w:p>
            <w:pPr>
              <w:pStyle w:val="12"/>
              <w:spacing w:line="360" w:lineRule="auto"/>
              <w:ind w:left="8" w:leftChars="-27" w:hanging="65" w:hangingChars="27"/>
              <w:rPr>
                <w:highlight w:val="none"/>
              </w:rPr>
            </w:pPr>
            <w:r>
              <w:rPr>
                <w:rFonts w:ascii="宋体" w:hAnsi="宋体" w:cs="宋体"/>
                <w:b/>
                <w:bCs/>
                <w:kern w:val="0"/>
                <w:sz w:val="24"/>
                <w:highlight w:val="none"/>
              </w:rPr>
              <w:t>（评分依据：供应商提供针对此项目的商务响应/偏离表）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highlight w:val="none"/>
              </w:rPr>
            </w:pPr>
          </w:p>
        </w:tc>
        <w:tc>
          <w:tcPr>
            <w:tcW w:w="119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highlight w:val="none"/>
              </w:rPr>
            </w:pP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ascii="宋体" w:hAnsi="宋体" w:cs="宋体"/>
                <w:bCs/>
                <w:kern w:val="0"/>
                <w:sz w:val="24"/>
                <w:highlight w:val="none"/>
              </w:rPr>
              <w:t>售后服务（10分）</w:t>
            </w:r>
          </w:p>
        </w:tc>
        <w:tc>
          <w:tcPr>
            <w:tcW w:w="6099" w:type="dxa"/>
            <w:tcBorders>
              <w:top w:val="single" w:color="auto" w:sz="4" w:space="0"/>
              <w:left w:val="single" w:color="auto" w:sz="4" w:space="0"/>
              <w:bottom w:val="single" w:color="auto" w:sz="4" w:space="0"/>
              <w:right w:val="single" w:color="auto" w:sz="4" w:space="0"/>
            </w:tcBorders>
            <w:vAlign w:val="center"/>
          </w:tcPr>
          <w:p>
            <w:pPr>
              <w:pStyle w:val="68"/>
              <w:spacing w:line="360" w:lineRule="auto"/>
              <w:jc w:val="both"/>
              <w:rPr>
                <w:rFonts w:ascii="宋体" w:hAnsi="宋体"/>
                <w:sz w:val="24"/>
                <w:szCs w:val="24"/>
                <w:highlight w:val="none"/>
              </w:rPr>
            </w:pPr>
            <w:r>
              <w:rPr>
                <w:rFonts w:ascii="宋体" w:hAnsi="宋体"/>
                <w:sz w:val="24"/>
                <w:szCs w:val="24"/>
                <w:highlight w:val="none"/>
              </w:rPr>
              <w:t xml:space="preserve">1、投标人承诺对本项目提供整体的质保期免费服务，且提供 7*24小时售后服务热线；乙方应在接到甲方维护通知后随时响应。满足得5分。 </w:t>
            </w:r>
          </w:p>
          <w:p>
            <w:pPr>
              <w:pStyle w:val="68"/>
              <w:spacing w:line="360" w:lineRule="auto"/>
              <w:jc w:val="both"/>
              <w:rPr>
                <w:rFonts w:ascii="宋体" w:hAnsi="宋体"/>
                <w:sz w:val="24"/>
                <w:szCs w:val="24"/>
                <w:highlight w:val="none"/>
              </w:rPr>
            </w:pPr>
            <w:r>
              <w:rPr>
                <w:rFonts w:ascii="宋体" w:hAnsi="宋体"/>
                <w:sz w:val="24"/>
                <w:szCs w:val="24"/>
                <w:highlight w:val="none"/>
              </w:rPr>
              <w:t xml:space="preserve">2、若运用通讯工具不能解决问题，承诺能在接到采购人通知 12 小时内到达现场，在 24小时内解决问题的得 5分；承诺能在接到采购人通知 24小时内到达现场，在48小时内解决问题满足得 3 分；不满足不得分。 </w:t>
            </w:r>
          </w:p>
          <w:p>
            <w:pPr>
              <w:pStyle w:val="68"/>
              <w:spacing w:line="360" w:lineRule="auto"/>
              <w:jc w:val="both"/>
              <w:rPr>
                <w:rFonts w:ascii="宋体" w:hAnsi="宋体"/>
                <w:sz w:val="24"/>
                <w:szCs w:val="24"/>
                <w:highlight w:val="none"/>
              </w:rPr>
            </w:pPr>
            <w:r>
              <w:rPr>
                <w:rFonts w:ascii="宋体" w:hAnsi="宋体"/>
                <w:b/>
                <w:bCs/>
                <w:sz w:val="24"/>
                <w:szCs w:val="24"/>
                <w:highlight w:val="none"/>
              </w:rPr>
              <w:t>（评审依据：提供售后服务承诺函原件进行佐证，并加盖供应商公章，未提供或提供不全的不得分）</w:t>
            </w:r>
            <w:r>
              <w:rPr>
                <w:rFonts w:ascii="宋体" w:hAnsi="宋体"/>
                <w:sz w:val="24"/>
                <w:szCs w:val="24"/>
                <w:highlight w:val="none"/>
              </w:rPr>
              <w:t>。</w:t>
            </w:r>
          </w:p>
        </w:tc>
      </w:tr>
    </w:tbl>
    <w:p>
      <w:pPr>
        <w:rPr>
          <w:highlight w:val="none"/>
        </w:rPr>
      </w:pPr>
    </w:p>
    <w:p>
      <w:pPr>
        <w:rPr>
          <w:highlight w:val="none"/>
        </w:rPr>
      </w:pPr>
    </w:p>
    <w:p>
      <w:pPr>
        <w:snapToGrid w:val="0"/>
        <w:spacing w:line="480" w:lineRule="auto"/>
        <w:rPr>
          <w:rFonts w:ascii="宋体" w:hAnsi="宋体"/>
          <w:sz w:val="24"/>
          <w:szCs w:val="22"/>
          <w:highlight w:val="none"/>
        </w:rPr>
      </w:pPr>
      <w:r>
        <w:rPr>
          <w:rFonts w:hint="eastAsia" w:ascii="宋体" w:hAnsi="宋体"/>
          <w:b/>
          <w:bCs/>
          <w:sz w:val="24"/>
          <w:szCs w:val="22"/>
          <w:highlight w:val="none"/>
        </w:rPr>
        <w:t>备注</w:t>
      </w:r>
      <w:r>
        <w:rPr>
          <w:rFonts w:hint="eastAsia" w:ascii="宋体" w:hAnsi="宋体"/>
          <w:sz w:val="24"/>
          <w:szCs w:val="22"/>
          <w:highlight w:val="none"/>
        </w:rPr>
        <w:t>：</w:t>
      </w:r>
    </w:p>
    <w:p>
      <w:pPr>
        <w:snapToGrid w:val="0"/>
        <w:spacing w:line="480" w:lineRule="auto"/>
        <w:ind w:firstLine="480" w:firstLineChars="200"/>
        <w:rPr>
          <w:rFonts w:ascii="宋体" w:hAnsi="宋体"/>
          <w:sz w:val="22"/>
          <w:szCs w:val="21"/>
          <w:highlight w:val="none"/>
        </w:rPr>
      </w:pPr>
      <w:r>
        <w:rPr>
          <w:rFonts w:hint="eastAsia" w:ascii="宋体" w:hAnsi="宋体"/>
          <w:sz w:val="24"/>
          <w:szCs w:val="22"/>
          <w:highlight w:val="none"/>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pPYX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Uxz6nM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J5s0a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qAXOwc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ZN+ol8YBAACLAwAADgAAAAAAAAABACAAAAAfAQAAZHJzL2Uyb0RvYy54&#10;bWxQSwUGAAAAAAYABgBZAQAAV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D777AE8F"/>
    <w:multiLevelType w:val="singleLevel"/>
    <w:tmpl w:val="D777AE8F"/>
    <w:lvl w:ilvl="0" w:tentative="0">
      <w:start w:val="2"/>
      <w:numFmt w:val="chineseCounting"/>
      <w:suff w:val="nothing"/>
      <w:lvlText w:val="（%1）"/>
      <w:lvlJc w:val="left"/>
      <w:rPr>
        <w:rFonts w:hint="eastAsia"/>
      </w:rPr>
    </w:lvl>
  </w:abstractNum>
  <w:abstractNum w:abstractNumId="3">
    <w:nsid w:val="F17BF2CA"/>
    <w:multiLevelType w:val="singleLevel"/>
    <w:tmpl w:val="F17BF2CA"/>
    <w:lvl w:ilvl="0" w:tentative="0">
      <w:start w:val="5"/>
      <w:numFmt w:val="chineseCounting"/>
      <w:suff w:val="nothing"/>
      <w:lvlText w:val="第%1章　"/>
      <w:lvlJc w:val="left"/>
      <w:rPr>
        <w:rFonts w:hint="eastAsia"/>
      </w:rPr>
    </w:lvl>
  </w:abstractNum>
  <w:abstractNum w:abstractNumId="4">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2FAD0A4"/>
    <w:multiLevelType w:val="singleLevel"/>
    <w:tmpl w:val="72FAD0A4"/>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mEyMjk4OWFlNWJlYmMyNzI3MWRjODI4YmZmODc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1E80"/>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2C0E"/>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54AC3"/>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0E30"/>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61A1"/>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ADE"/>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53F23"/>
    <w:rsid w:val="00D647AF"/>
    <w:rsid w:val="00D651CE"/>
    <w:rsid w:val="00D72D75"/>
    <w:rsid w:val="00D73903"/>
    <w:rsid w:val="00D80E10"/>
    <w:rsid w:val="00D8287E"/>
    <w:rsid w:val="00D852A1"/>
    <w:rsid w:val="00D91AE2"/>
    <w:rsid w:val="00D93E94"/>
    <w:rsid w:val="00D95B93"/>
    <w:rsid w:val="00D96EC5"/>
    <w:rsid w:val="00DA2BCE"/>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21A390B"/>
    <w:rsid w:val="02557C87"/>
    <w:rsid w:val="02B13423"/>
    <w:rsid w:val="02ED139A"/>
    <w:rsid w:val="03662B7E"/>
    <w:rsid w:val="03EC0177"/>
    <w:rsid w:val="040E4584"/>
    <w:rsid w:val="044F737E"/>
    <w:rsid w:val="04E36791"/>
    <w:rsid w:val="057D0FCA"/>
    <w:rsid w:val="05E85116"/>
    <w:rsid w:val="060604A2"/>
    <w:rsid w:val="063F421B"/>
    <w:rsid w:val="068B6FAB"/>
    <w:rsid w:val="06F17950"/>
    <w:rsid w:val="06FE0AED"/>
    <w:rsid w:val="072B11C3"/>
    <w:rsid w:val="07524241"/>
    <w:rsid w:val="077D6A2B"/>
    <w:rsid w:val="07937179"/>
    <w:rsid w:val="0843731D"/>
    <w:rsid w:val="09183024"/>
    <w:rsid w:val="098534FD"/>
    <w:rsid w:val="09B13AF1"/>
    <w:rsid w:val="0A3537DE"/>
    <w:rsid w:val="0A802DD5"/>
    <w:rsid w:val="0AEF7578"/>
    <w:rsid w:val="0B44597B"/>
    <w:rsid w:val="0BA83411"/>
    <w:rsid w:val="0BA854F2"/>
    <w:rsid w:val="0BC619DC"/>
    <w:rsid w:val="0CA02E95"/>
    <w:rsid w:val="0CB05E4C"/>
    <w:rsid w:val="0DC051B0"/>
    <w:rsid w:val="0DFA71E6"/>
    <w:rsid w:val="0E006844"/>
    <w:rsid w:val="0E5C65DD"/>
    <w:rsid w:val="0ECD4735"/>
    <w:rsid w:val="0EDB32A1"/>
    <w:rsid w:val="0EF25ACC"/>
    <w:rsid w:val="0F066414"/>
    <w:rsid w:val="0F221CC8"/>
    <w:rsid w:val="0F2F11AF"/>
    <w:rsid w:val="0F521ABC"/>
    <w:rsid w:val="10042E3B"/>
    <w:rsid w:val="1076236D"/>
    <w:rsid w:val="10D41E94"/>
    <w:rsid w:val="11092AE3"/>
    <w:rsid w:val="115C0B4A"/>
    <w:rsid w:val="118462F0"/>
    <w:rsid w:val="11994313"/>
    <w:rsid w:val="11F07644"/>
    <w:rsid w:val="120215E1"/>
    <w:rsid w:val="126C795F"/>
    <w:rsid w:val="12CE3BB7"/>
    <w:rsid w:val="130E58C3"/>
    <w:rsid w:val="13285342"/>
    <w:rsid w:val="13635D21"/>
    <w:rsid w:val="13650157"/>
    <w:rsid w:val="139840CA"/>
    <w:rsid w:val="141F099C"/>
    <w:rsid w:val="149F2089"/>
    <w:rsid w:val="14C75020"/>
    <w:rsid w:val="14E629C1"/>
    <w:rsid w:val="151F57BA"/>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A5B4B"/>
    <w:rsid w:val="1B0558B7"/>
    <w:rsid w:val="1B2604E2"/>
    <w:rsid w:val="1B344F71"/>
    <w:rsid w:val="1B8D6662"/>
    <w:rsid w:val="1BED39C4"/>
    <w:rsid w:val="1BF441EA"/>
    <w:rsid w:val="1C83038E"/>
    <w:rsid w:val="1CFA12B0"/>
    <w:rsid w:val="1D0E09A0"/>
    <w:rsid w:val="1D5B237C"/>
    <w:rsid w:val="1F833A1A"/>
    <w:rsid w:val="1F8F1C9F"/>
    <w:rsid w:val="1FC23556"/>
    <w:rsid w:val="1FE741BD"/>
    <w:rsid w:val="1FF97A4C"/>
    <w:rsid w:val="20B6512F"/>
    <w:rsid w:val="20FA0163"/>
    <w:rsid w:val="20FE32A9"/>
    <w:rsid w:val="21100E8E"/>
    <w:rsid w:val="21954129"/>
    <w:rsid w:val="223613C5"/>
    <w:rsid w:val="22A85F99"/>
    <w:rsid w:val="22AD06AA"/>
    <w:rsid w:val="237B74DF"/>
    <w:rsid w:val="23E97461"/>
    <w:rsid w:val="24627F6A"/>
    <w:rsid w:val="24A851AB"/>
    <w:rsid w:val="24B01274"/>
    <w:rsid w:val="258E010C"/>
    <w:rsid w:val="25F74FA9"/>
    <w:rsid w:val="26216DBD"/>
    <w:rsid w:val="2642757B"/>
    <w:rsid w:val="264A5FD1"/>
    <w:rsid w:val="26536592"/>
    <w:rsid w:val="27D66AFF"/>
    <w:rsid w:val="283E0AFC"/>
    <w:rsid w:val="284C0790"/>
    <w:rsid w:val="286D547B"/>
    <w:rsid w:val="28F738B5"/>
    <w:rsid w:val="293C5AE8"/>
    <w:rsid w:val="29B16D07"/>
    <w:rsid w:val="29D15800"/>
    <w:rsid w:val="29F85EBF"/>
    <w:rsid w:val="2A5C12FE"/>
    <w:rsid w:val="2B4E4183"/>
    <w:rsid w:val="2B662F2C"/>
    <w:rsid w:val="2BC41793"/>
    <w:rsid w:val="2BD7099B"/>
    <w:rsid w:val="2C896B78"/>
    <w:rsid w:val="2CA3445D"/>
    <w:rsid w:val="2CED6B77"/>
    <w:rsid w:val="2CF13EB4"/>
    <w:rsid w:val="2DCF39F0"/>
    <w:rsid w:val="2E157721"/>
    <w:rsid w:val="2E2F4954"/>
    <w:rsid w:val="2EB37960"/>
    <w:rsid w:val="2EB931C8"/>
    <w:rsid w:val="2F42739F"/>
    <w:rsid w:val="2F4E7783"/>
    <w:rsid w:val="2FCF763A"/>
    <w:rsid w:val="303E05CC"/>
    <w:rsid w:val="30BE7CF2"/>
    <w:rsid w:val="315268EA"/>
    <w:rsid w:val="31E93137"/>
    <w:rsid w:val="32441F78"/>
    <w:rsid w:val="32AC490E"/>
    <w:rsid w:val="32B744BA"/>
    <w:rsid w:val="32C93CAA"/>
    <w:rsid w:val="32CA2C30"/>
    <w:rsid w:val="32FF52FF"/>
    <w:rsid w:val="33046365"/>
    <w:rsid w:val="335614D8"/>
    <w:rsid w:val="33DA0E15"/>
    <w:rsid w:val="34101AED"/>
    <w:rsid w:val="341863BB"/>
    <w:rsid w:val="34234523"/>
    <w:rsid w:val="342655D7"/>
    <w:rsid w:val="34B730BF"/>
    <w:rsid w:val="35245B4A"/>
    <w:rsid w:val="35385E7D"/>
    <w:rsid w:val="35B92540"/>
    <w:rsid w:val="36805118"/>
    <w:rsid w:val="370A2CD2"/>
    <w:rsid w:val="376B4757"/>
    <w:rsid w:val="37D32D0F"/>
    <w:rsid w:val="380E6F29"/>
    <w:rsid w:val="38182116"/>
    <w:rsid w:val="38AB26C8"/>
    <w:rsid w:val="38D9757B"/>
    <w:rsid w:val="391B05DB"/>
    <w:rsid w:val="39F37D2E"/>
    <w:rsid w:val="3A211AEF"/>
    <w:rsid w:val="3A325E01"/>
    <w:rsid w:val="3A7E4E86"/>
    <w:rsid w:val="3AB47113"/>
    <w:rsid w:val="3AC0768C"/>
    <w:rsid w:val="3ACE3272"/>
    <w:rsid w:val="3AF52058"/>
    <w:rsid w:val="3AFA7AD6"/>
    <w:rsid w:val="3B094232"/>
    <w:rsid w:val="3B2006F9"/>
    <w:rsid w:val="3B417BFA"/>
    <w:rsid w:val="3BE318EC"/>
    <w:rsid w:val="3C5E350C"/>
    <w:rsid w:val="3CD106C8"/>
    <w:rsid w:val="3D8E4196"/>
    <w:rsid w:val="3E4701CA"/>
    <w:rsid w:val="3E4F5F4D"/>
    <w:rsid w:val="3F0C020B"/>
    <w:rsid w:val="3F29781D"/>
    <w:rsid w:val="3FCE7527"/>
    <w:rsid w:val="3FD35D79"/>
    <w:rsid w:val="4004626D"/>
    <w:rsid w:val="4129724F"/>
    <w:rsid w:val="4142009E"/>
    <w:rsid w:val="42094AC0"/>
    <w:rsid w:val="420F3388"/>
    <w:rsid w:val="42292D47"/>
    <w:rsid w:val="422E2465"/>
    <w:rsid w:val="42CB2C13"/>
    <w:rsid w:val="42EA6AC2"/>
    <w:rsid w:val="432968C3"/>
    <w:rsid w:val="43B57F65"/>
    <w:rsid w:val="43E47974"/>
    <w:rsid w:val="43F6411F"/>
    <w:rsid w:val="450B3BFA"/>
    <w:rsid w:val="45385E19"/>
    <w:rsid w:val="456D06A3"/>
    <w:rsid w:val="45995FFD"/>
    <w:rsid w:val="466B4DFE"/>
    <w:rsid w:val="467E1D3D"/>
    <w:rsid w:val="46A8541D"/>
    <w:rsid w:val="46FC093C"/>
    <w:rsid w:val="47833F1C"/>
    <w:rsid w:val="47BB2907"/>
    <w:rsid w:val="48183CF4"/>
    <w:rsid w:val="48552D5D"/>
    <w:rsid w:val="48F46E22"/>
    <w:rsid w:val="49BA2332"/>
    <w:rsid w:val="4A0A5678"/>
    <w:rsid w:val="4A3E7FAA"/>
    <w:rsid w:val="4AE55288"/>
    <w:rsid w:val="4B657DF4"/>
    <w:rsid w:val="4B965010"/>
    <w:rsid w:val="4C4044B7"/>
    <w:rsid w:val="4C967359"/>
    <w:rsid w:val="4DCE21E6"/>
    <w:rsid w:val="4E1319F2"/>
    <w:rsid w:val="4E9D5A5E"/>
    <w:rsid w:val="4EC202D3"/>
    <w:rsid w:val="4EED7607"/>
    <w:rsid w:val="4F2B02F9"/>
    <w:rsid w:val="4F3D5B95"/>
    <w:rsid w:val="4F4536D7"/>
    <w:rsid w:val="4F554640"/>
    <w:rsid w:val="4FE67C95"/>
    <w:rsid w:val="4FF40FFF"/>
    <w:rsid w:val="509D642E"/>
    <w:rsid w:val="513D513B"/>
    <w:rsid w:val="51960E5E"/>
    <w:rsid w:val="51A9309D"/>
    <w:rsid w:val="52957035"/>
    <w:rsid w:val="52A90E2E"/>
    <w:rsid w:val="52C63441"/>
    <w:rsid w:val="52EF1280"/>
    <w:rsid w:val="52F553A5"/>
    <w:rsid w:val="53092CF3"/>
    <w:rsid w:val="533D55B9"/>
    <w:rsid w:val="53AC561E"/>
    <w:rsid w:val="53F23766"/>
    <w:rsid w:val="545D593E"/>
    <w:rsid w:val="546D4F1D"/>
    <w:rsid w:val="548F60F6"/>
    <w:rsid w:val="55FD7BA1"/>
    <w:rsid w:val="5626791D"/>
    <w:rsid w:val="563F195B"/>
    <w:rsid w:val="566E3FE9"/>
    <w:rsid w:val="56D74DEB"/>
    <w:rsid w:val="57244031"/>
    <w:rsid w:val="57810FB3"/>
    <w:rsid w:val="5786354F"/>
    <w:rsid w:val="57996C0F"/>
    <w:rsid w:val="5811511F"/>
    <w:rsid w:val="58141D4F"/>
    <w:rsid w:val="585021E0"/>
    <w:rsid w:val="58DD25EC"/>
    <w:rsid w:val="58EC0D2F"/>
    <w:rsid w:val="59441B01"/>
    <w:rsid w:val="59EB748C"/>
    <w:rsid w:val="5A3861C1"/>
    <w:rsid w:val="5AD95836"/>
    <w:rsid w:val="5B1F2DBA"/>
    <w:rsid w:val="5BA03249"/>
    <w:rsid w:val="5BC73C27"/>
    <w:rsid w:val="5BCD116C"/>
    <w:rsid w:val="5BF8682E"/>
    <w:rsid w:val="5C4458B0"/>
    <w:rsid w:val="5C5F745C"/>
    <w:rsid w:val="5CB74919"/>
    <w:rsid w:val="5CD0415E"/>
    <w:rsid w:val="5D5757D7"/>
    <w:rsid w:val="5DF4316D"/>
    <w:rsid w:val="5E0B1043"/>
    <w:rsid w:val="5E2725DC"/>
    <w:rsid w:val="605E35B8"/>
    <w:rsid w:val="60B04F97"/>
    <w:rsid w:val="61884FBB"/>
    <w:rsid w:val="61E614FB"/>
    <w:rsid w:val="6286607D"/>
    <w:rsid w:val="62E0001C"/>
    <w:rsid w:val="63694DF3"/>
    <w:rsid w:val="636C22C9"/>
    <w:rsid w:val="63937D41"/>
    <w:rsid w:val="63E37DC4"/>
    <w:rsid w:val="63ED22C8"/>
    <w:rsid w:val="6404537C"/>
    <w:rsid w:val="64A21CB1"/>
    <w:rsid w:val="651D1A24"/>
    <w:rsid w:val="6552775A"/>
    <w:rsid w:val="657C7F44"/>
    <w:rsid w:val="65C26F3F"/>
    <w:rsid w:val="660C626C"/>
    <w:rsid w:val="66432D9C"/>
    <w:rsid w:val="665545E0"/>
    <w:rsid w:val="66742F55"/>
    <w:rsid w:val="6781397B"/>
    <w:rsid w:val="692073C4"/>
    <w:rsid w:val="69362DAC"/>
    <w:rsid w:val="697B43F4"/>
    <w:rsid w:val="698B1337"/>
    <w:rsid w:val="69EF7335"/>
    <w:rsid w:val="6A0D1228"/>
    <w:rsid w:val="6A202C9F"/>
    <w:rsid w:val="6A2D7877"/>
    <w:rsid w:val="6A5F5B8E"/>
    <w:rsid w:val="6AB22925"/>
    <w:rsid w:val="6AD74805"/>
    <w:rsid w:val="6B17481F"/>
    <w:rsid w:val="6C210D88"/>
    <w:rsid w:val="6C58675F"/>
    <w:rsid w:val="6C930563"/>
    <w:rsid w:val="6CDD2644"/>
    <w:rsid w:val="6DCE2536"/>
    <w:rsid w:val="6DFA2B66"/>
    <w:rsid w:val="6DFA48B1"/>
    <w:rsid w:val="6EA162AA"/>
    <w:rsid w:val="6F101746"/>
    <w:rsid w:val="6F102331"/>
    <w:rsid w:val="6F9D1ECF"/>
    <w:rsid w:val="6FAD2238"/>
    <w:rsid w:val="6FD66A2F"/>
    <w:rsid w:val="700272C2"/>
    <w:rsid w:val="70814BED"/>
    <w:rsid w:val="70D9197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5E83524"/>
    <w:rsid w:val="760246AA"/>
    <w:rsid w:val="76165DD7"/>
    <w:rsid w:val="765A4EF4"/>
    <w:rsid w:val="768E3295"/>
    <w:rsid w:val="76E73C26"/>
    <w:rsid w:val="77986F44"/>
    <w:rsid w:val="77A46DBE"/>
    <w:rsid w:val="77D727F2"/>
    <w:rsid w:val="77E03699"/>
    <w:rsid w:val="77EB46B1"/>
    <w:rsid w:val="789C7108"/>
    <w:rsid w:val="78DC28FC"/>
    <w:rsid w:val="79880B4E"/>
    <w:rsid w:val="7A99795F"/>
    <w:rsid w:val="7AE4713E"/>
    <w:rsid w:val="7AF74B32"/>
    <w:rsid w:val="7B7F7F7B"/>
    <w:rsid w:val="7B86755B"/>
    <w:rsid w:val="7C055FB6"/>
    <w:rsid w:val="7D051426"/>
    <w:rsid w:val="7DEE2FCA"/>
    <w:rsid w:val="7EBB162C"/>
    <w:rsid w:val="7F0A624C"/>
    <w:rsid w:val="7F310CD8"/>
    <w:rsid w:val="7F533BF8"/>
    <w:rsid w:val="EF313F70"/>
    <w:rsid w:val="F7FC49D5"/>
    <w:rsid w:val="FFFF0A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5"/>
    <w:qFormat/>
    <w:uiPriority w:val="0"/>
    <w:pPr>
      <w:keepNext/>
      <w:outlineLvl w:val="0"/>
    </w:pPr>
    <w:rPr>
      <w:rFonts w:ascii="宋体"/>
      <w:sz w:val="28"/>
    </w:rPr>
  </w:style>
  <w:style w:type="paragraph" w:styleId="3">
    <w:name w:val="heading 2"/>
    <w:basedOn w:val="1"/>
    <w:next w:val="1"/>
    <w:link w:val="66"/>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7"/>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50"/>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2" w:lineRule="auto"/>
      <w:outlineLvl w:val="4"/>
    </w:pPr>
    <w:rPr>
      <w:b/>
      <w:bCs/>
      <w:sz w:val="28"/>
      <w:szCs w:val="28"/>
    </w:rPr>
  </w:style>
  <w:style w:type="paragraph" w:styleId="7">
    <w:name w:val="heading 6"/>
    <w:basedOn w:val="1"/>
    <w:next w:val="1"/>
    <w:link w:val="52"/>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53"/>
    <w:qFormat/>
    <w:uiPriority w:val="0"/>
    <w:pPr>
      <w:keepNext/>
      <w:keepLines/>
      <w:spacing w:before="240" w:after="64" w:line="317" w:lineRule="auto"/>
      <w:outlineLvl w:val="6"/>
    </w:pPr>
    <w:rPr>
      <w:b/>
      <w:bCs/>
      <w:sz w:val="24"/>
      <w:szCs w:val="24"/>
    </w:rPr>
  </w:style>
  <w:style w:type="paragraph" w:styleId="9">
    <w:name w:val="heading 8"/>
    <w:basedOn w:val="1"/>
    <w:next w:val="1"/>
    <w:link w:val="54"/>
    <w:qFormat/>
    <w:uiPriority w:val="0"/>
    <w:pPr>
      <w:keepNext/>
      <w:keepLines/>
      <w:spacing w:before="240" w:after="64" w:line="317" w:lineRule="auto"/>
      <w:outlineLvl w:val="7"/>
    </w:pPr>
    <w:rPr>
      <w:rFonts w:ascii="Arial" w:hAnsi="Arial" w:eastAsia="黑体"/>
      <w:sz w:val="24"/>
      <w:szCs w:val="24"/>
    </w:rPr>
  </w:style>
  <w:style w:type="paragraph" w:styleId="10">
    <w:name w:val="heading 9"/>
    <w:basedOn w:val="1"/>
    <w:next w:val="1"/>
    <w:link w:val="55"/>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rPr>
      <w:szCs w:val="24"/>
    </w:rPr>
  </w:style>
  <w:style w:type="paragraph" w:styleId="13">
    <w:name w:val="caption"/>
    <w:basedOn w:val="1"/>
    <w:next w:val="1"/>
    <w:qFormat/>
    <w:uiPriority w:val="0"/>
    <w:pPr>
      <w:spacing w:line="360" w:lineRule="auto"/>
      <w:jc w:val="center"/>
    </w:pPr>
    <w:rPr>
      <w:rFonts w:eastAsia="黑体"/>
      <w:sz w:val="24"/>
    </w:rPr>
  </w:style>
  <w:style w:type="paragraph" w:styleId="14">
    <w:name w:val="Document Map"/>
    <w:basedOn w:val="1"/>
    <w:autoRedefine/>
    <w:semiHidden/>
    <w:qFormat/>
    <w:uiPriority w:val="0"/>
    <w:pPr>
      <w:shd w:val="clear" w:color="auto" w:fill="000080"/>
    </w:pPr>
  </w:style>
  <w:style w:type="paragraph" w:styleId="15">
    <w:name w:val="annotation text"/>
    <w:basedOn w:val="1"/>
    <w:link w:val="56"/>
    <w:autoRedefine/>
    <w:qFormat/>
    <w:uiPriority w:val="0"/>
    <w:pPr>
      <w:jc w:val="left"/>
    </w:pPr>
  </w:style>
  <w:style w:type="paragraph" w:styleId="16">
    <w:name w:val="Body Text"/>
    <w:basedOn w:val="1"/>
    <w:qFormat/>
    <w:uiPriority w:val="0"/>
    <w:rPr>
      <w:rFonts w:eastAsia="仿宋"/>
      <w:sz w:val="28"/>
    </w:rPr>
  </w:style>
  <w:style w:type="paragraph" w:styleId="17">
    <w:name w:val="Body Text Indent"/>
    <w:basedOn w:val="1"/>
    <w:next w:val="18"/>
    <w:autoRedefine/>
    <w:qFormat/>
    <w:uiPriority w:val="0"/>
    <w:pPr>
      <w:autoSpaceDE w:val="0"/>
      <w:autoSpaceDN w:val="0"/>
      <w:adjustRightInd w:val="0"/>
      <w:spacing w:line="360" w:lineRule="auto"/>
      <w:ind w:firstLine="480"/>
      <w:jc w:val="left"/>
    </w:pPr>
    <w:rPr>
      <w:rFonts w:ascii="宋体" w:hAnsi="宋体"/>
      <w:kern w:val="0"/>
      <w:sz w:val="24"/>
    </w:rPr>
  </w:style>
  <w:style w:type="paragraph" w:styleId="18">
    <w:name w:val="envelope return"/>
    <w:basedOn w:val="1"/>
    <w:autoRedefine/>
    <w:qFormat/>
    <w:uiPriority w:val="0"/>
    <w:pPr>
      <w:snapToGrid w:val="0"/>
    </w:pPr>
    <w:rPr>
      <w:rFonts w:ascii="Arial" w:hAnsi="Arial"/>
    </w:rPr>
  </w:style>
  <w:style w:type="paragraph" w:styleId="19">
    <w:name w:val="toc 5"/>
    <w:basedOn w:val="1"/>
    <w:next w:val="1"/>
    <w:autoRedefine/>
    <w:qFormat/>
    <w:uiPriority w:val="0"/>
    <w:pPr>
      <w:ind w:left="840"/>
      <w:jc w:val="left"/>
    </w:pPr>
    <w:rPr>
      <w:sz w:val="18"/>
      <w:szCs w:val="18"/>
    </w:rPr>
  </w:style>
  <w:style w:type="paragraph" w:styleId="20">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1">
    <w:name w:val="Plain Text"/>
    <w:basedOn w:val="1"/>
    <w:link w:val="57"/>
    <w:autoRedefine/>
    <w:qFormat/>
    <w:uiPriority w:val="0"/>
    <w:rPr>
      <w:rFonts w:ascii="宋体" w:hAnsi="Courier New"/>
      <w:sz w:val="24"/>
    </w:rPr>
  </w:style>
  <w:style w:type="paragraph" w:styleId="22">
    <w:name w:val="toc 8"/>
    <w:basedOn w:val="1"/>
    <w:next w:val="1"/>
    <w:autoRedefine/>
    <w:qFormat/>
    <w:uiPriority w:val="0"/>
    <w:pPr>
      <w:ind w:left="1470"/>
      <w:jc w:val="left"/>
    </w:pPr>
    <w:rPr>
      <w:sz w:val="18"/>
      <w:szCs w:val="18"/>
    </w:rPr>
  </w:style>
  <w:style w:type="paragraph" w:styleId="23">
    <w:name w:val="Date"/>
    <w:basedOn w:val="1"/>
    <w:next w:val="1"/>
    <w:link w:val="58"/>
    <w:autoRedefine/>
    <w:qFormat/>
    <w:uiPriority w:val="0"/>
    <w:rPr>
      <w:sz w:val="28"/>
    </w:rPr>
  </w:style>
  <w:style w:type="paragraph" w:styleId="24">
    <w:name w:val="Body Text Indent 2"/>
    <w:basedOn w:val="1"/>
    <w:link w:val="59"/>
    <w:autoRedefine/>
    <w:qFormat/>
    <w:uiPriority w:val="0"/>
    <w:pPr>
      <w:spacing w:after="120" w:line="480" w:lineRule="auto"/>
      <w:ind w:left="420" w:leftChars="200"/>
    </w:pPr>
  </w:style>
  <w:style w:type="paragraph" w:styleId="25">
    <w:name w:val="Balloon Text"/>
    <w:basedOn w:val="1"/>
    <w:link w:val="6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rPr>
  </w:style>
  <w:style w:type="paragraph" w:styleId="27">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29">
    <w:name w:val="toc 4"/>
    <w:basedOn w:val="1"/>
    <w:next w:val="1"/>
    <w:autoRedefine/>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link w:val="63"/>
    <w:autoRedefine/>
    <w:qFormat/>
    <w:uiPriority w:val="0"/>
    <w:pPr>
      <w:spacing w:after="120"/>
      <w:ind w:left="420" w:leftChars="200"/>
    </w:pPr>
    <w:rPr>
      <w:sz w:val="16"/>
      <w:szCs w:val="16"/>
    </w:rPr>
  </w:style>
  <w:style w:type="paragraph" w:styleId="32">
    <w:name w:val="toc 2"/>
    <w:basedOn w:val="1"/>
    <w:next w:val="1"/>
    <w:autoRedefine/>
    <w:qFormat/>
    <w:uiPriority w:val="39"/>
    <w:pPr>
      <w:tabs>
        <w:tab w:val="right" w:leader="hyphen" w:pos="9061"/>
      </w:tabs>
      <w:spacing w:line="360" w:lineRule="exact"/>
      <w:ind w:left="210"/>
      <w:jc w:val="left"/>
    </w:pPr>
    <w:rPr>
      <w:rFonts w:ascii="宋体" w:hAnsi="宋体"/>
      <w:smallCaps/>
      <w:szCs w:val="21"/>
    </w:rPr>
  </w:style>
  <w:style w:type="paragraph" w:styleId="33">
    <w:name w:val="toc 9"/>
    <w:basedOn w:val="1"/>
    <w:next w:val="1"/>
    <w:autoRedefine/>
    <w:qFormat/>
    <w:uiPriority w:val="0"/>
    <w:pPr>
      <w:ind w:left="1680"/>
      <w:jc w:val="left"/>
    </w:pPr>
    <w:rPr>
      <w:sz w:val="18"/>
      <w:szCs w:val="18"/>
    </w:rPr>
  </w:style>
  <w:style w:type="paragraph" w:styleId="3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5"/>
    <w:next w:val="15"/>
    <w:link w:val="64"/>
    <w:autoRedefine/>
    <w:qFormat/>
    <w:uiPriority w:val="0"/>
    <w:rPr>
      <w:b/>
      <w:bCs/>
    </w:rPr>
  </w:style>
  <w:style w:type="paragraph" w:styleId="37">
    <w:name w:val="Body Text First Indent"/>
    <w:basedOn w:val="1"/>
    <w:qFormat/>
    <w:uiPriority w:val="0"/>
    <w:pPr>
      <w:ind w:firstLine="420" w:firstLineChars="100"/>
    </w:pPr>
    <w:rPr>
      <w:szCs w:val="22"/>
    </w:rPr>
  </w:style>
  <w:style w:type="paragraph" w:styleId="38">
    <w:name w:val="Body Text First Indent 2"/>
    <w:basedOn w:val="17"/>
    <w:autoRedefine/>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autoRedefine/>
    <w:unhideWhenUsed/>
    <w:qFormat/>
    <w:uiPriority w:val="99"/>
    <w:rPr>
      <w:color w:val="800080"/>
      <w:u w:val="single"/>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character" w:customStyle="1" w:styleId="47">
    <w:name w:val="标题 1 字符1"/>
    <w:qFormat/>
    <w:uiPriority w:val="0"/>
    <w:rPr>
      <w:rFonts w:ascii="宋体"/>
      <w:kern w:val="2"/>
      <w:sz w:val="28"/>
    </w:rPr>
  </w:style>
  <w:style w:type="character" w:customStyle="1" w:styleId="48">
    <w:name w:val="标题 2 字符"/>
    <w:autoRedefine/>
    <w:qFormat/>
    <w:uiPriority w:val="0"/>
    <w:rPr>
      <w:rFonts w:hint="default" w:ascii="Times New Roman" w:hAnsi="Times New Roman" w:eastAsia="仿宋" w:cs="Times New Roman"/>
      <w:b/>
      <w:bCs/>
      <w:kern w:val="2"/>
      <w:sz w:val="32"/>
      <w:szCs w:val="32"/>
    </w:rPr>
  </w:style>
  <w:style w:type="character" w:customStyle="1" w:styleId="49">
    <w:name w:val="标题 3 字符1"/>
    <w:qFormat/>
    <w:uiPriority w:val="0"/>
    <w:rPr>
      <w:b/>
      <w:bCs/>
      <w:kern w:val="2"/>
      <w:sz w:val="32"/>
      <w:szCs w:val="32"/>
    </w:rPr>
  </w:style>
  <w:style w:type="character" w:customStyle="1" w:styleId="50">
    <w:name w:val="标题 4 字符"/>
    <w:link w:val="5"/>
    <w:qFormat/>
    <w:uiPriority w:val="0"/>
    <w:rPr>
      <w:rFonts w:hint="default" w:ascii="Times New Roman" w:hAnsi="Times New Roman" w:eastAsia="仿宋" w:cs="Times New Roman"/>
      <w:b/>
      <w:bCs/>
      <w:kern w:val="2"/>
      <w:sz w:val="28"/>
      <w:szCs w:val="28"/>
    </w:rPr>
  </w:style>
  <w:style w:type="character" w:customStyle="1" w:styleId="51">
    <w:name w:val="标题 5 字符"/>
    <w:link w:val="6"/>
    <w:autoRedefine/>
    <w:qFormat/>
    <w:uiPriority w:val="0"/>
    <w:rPr>
      <w:rFonts w:hint="default" w:ascii="Times New Roman" w:hAnsi="Times New Roman" w:eastAsia="仿宋" w:cs="Times New Roman"/>
      <w:b/>
      <w:bCs/>
      <w:kern w:val="2"/>
      <w:sz w:val="28"/>
      <w:szCs w:val="28"/>
    </w:rPr>
  </w:style>
  <w:style w:type="character" w:customStyle="1" w:styleId="52">
    <w:name w:val="标题 6 字符"/>
    <w:link w:val="7"/>
    <w:autoRedefine/>
    <w:qFormat/>
    <w:uiPriority w:val="0"/>
    <w:rPr>
      <w:rFonts w:hint="default" w:ascii="Times New Roman" w:hAnsi="Times New Roman" w:eastAsia="仿宋" w:cs="Times New Roman"/>
      <w:b/>
      <w:bCs/>
      <w:kern w:val="2"/>
      <w:sz w:val="28"/>
      <w:szCs w:val="24"/>
    </w:rPr>
  </w:style>
  <w:style w:type="character" w:customStyle="1" w:styleId="53">
    <w:name w:val="标题 7 字符"/>
    <w:link w:val="8"/>
    <w:autoRedefine/>
    <w:qFormat/>
    <w:uiPriority w:val="0"/>
    <w:rPr>
      <w:rFonts w:hint="default" w:ascii="Times New Roman" w:hAnsi="Times New Roman" w:eastAsia="仿宋" w:cs="Times New Roman"/>
      <w:b/>
      <w:bCs/>
      <w:kern w:val="2"/>
      <w:sz w:val="28"/>
      <w:szCs w:val="24"/>
    </w:rPr>
  </w:style>
  <w:style w:type="character" w:customStyle="1" w:styleId="54">
    <w:name w:val="标题 8 字符"/>
    <w:link w:val="9"/>
    <w:qFormat/>
    <w:uiPriority w:val="0"/>
    <w:rPr>
      <w:rFonts w:hint="default" w:ascii="Times New Roman" w:hAnsi="Times New Roman" w:eastAsia="仿宋" w:cs="Times New Roman"/>
      <w:kern w:val="2"/>
      <w:sz w:val="28"/>
      <w:szCs w:val="24"/>
    </w:rPr>
  </w:style>
  <w:style w:type="character" w:customStyle="1" w:styleId="55">
    <w:name w:val="标题 9 字符"/>
    <w:link w:val="10"/>
    <w:autoRedefine/>
    <w:qFormat/>
    <w:uiPriority w:val="0"/>
    <w:rPr>
      <w:rFonts w:hint="default" w:ascii="Times New Roman" w:hAnsi="Times New Roman" w:eastAsia="仿宋" w:cs="Times New Roman"/>
      <w:kern w:val="2"/>
      <w:sz w:val="28"/>
      <w:szCs w:val="21"/>
    </w:rPr>
  </w:style>
  <w:style w:type="character" w:customStyle="1" w:styleId="56">
    <w:name w:val="批注文字 字符"/>
    <w:link w:val="15"/>
    <w:autoRedefine/>
    <w:qFormat/>
    <w:uiPriority w:val="0"/>
    <w:rPr>
      <w:kern w:val="2"/>
      <w:sz w:val="21"/>
    </w:rPr>
  </w:style>
  <w:style w:type="character" w:customStyle="1" w:styleId="57">
    <w:name w:val="纯文本 字符"/>
    <w:link w:val="21"/>
    <w:autoRedefine/>
    <w:qFormat/>
    <w:uiPriority w:val="0"/>
    <w:rPr>
      <w:rFonts w:ascii="宋体" w:hAnsi="Courier New"/>
      <w:kern w:val="2"/>
      <w:sz w:val="24"/>
    </w:rPr>
  </w:style>
  <w:style w:type="character" w:customStyle="1" w:styleId="58">
    <w:name w:val="日期 字符"/>
    <w:link w:val="23"/>
    <w:qFormat/>
    <w:uiPriority w:val="0"/>
    <w:rPr>
      <w:kern w:val="2"/>
      <w:sz w:val="28"/>
    </w:rPr>
  </w:style>
  <w:style w:type="character" w:customStyle="1" w:styleId="59">
    <w:name w:val="正文文本缩进 2 字符"/>
    <w:link w:val="24"/>
    <w:autoRedefine/>
    <w:qFormat/>
    <w:uiPriority w:val="0"/>
    <w:rPr>
      <w:kern w:val="2"/>
      <w:sz w:val="21"/>
    </w:rPr>
  </w:style>
  <w:style w:type="character" w:customStyle="1" w:styleId="60">
    <w:name w:val="批注框文本 字符"/>
    <w:link w:val="25"/>
    <w:autoRedefine/>
    <w:qFormat/>
    <w:uiPriority w:val="0"/>
    <w:rPr>
      <w:kern w:val="2"/>
      <w:sz w:val="18"/>
      <w:szCs w:val="18"/>
    </w:rPr>
  </w:style>
  <w:style w:type="character" w:customStyle="1" w:styleId="61">
    <w:name w:val="页脚 字符"/>
    <w:link w:val="26"/>
    <w:qFormat/>
    <w:uiPriority w:val="99"/>
    <w:rPr>
      <w:kern w:val="2"/>
      <w:sz w:val="18"/>
    </w:rPr>
  </w:style>
  <w:style w:type="character" w:customStyle="1" w:styleId="62">
    <w:name w:val="页眉 字符"/>
    <w:link w:val="27"/>
    <w:autoRedefine/>
    <w:qFormat/>
    <w:uiPriority w:val="99"/>
    <w:rPr>
      <w:kern w:val="2"/>
      <w:sz w:val="18"/>
      <w:szCs w:val="18"/>
    </w:rPr>
  </w:style>
  <w:style w:type="character" w:customStyle="1" w:styleId="63">
    <w:name w:val="正文文本缩进 3 字符"/>
    <w:link w:val="31"/>
    <w:qFormat/>
    <w:uiPriority w:val="0"/>
    <w:rPr>
      <w:kern w:val="2"/>
      <w:sz w:val="16"/>
      <w:szCs w:val="16"/>
    </w:rPr>
  </w:style>
  <w:style w:type="character" w:customStyle="1" w:styleId="64">
    <w:name w:val="批注主题 字符"/>
    <w:link w:val="36"/>
    <w:autoRedefine/>
    <w:qFormat/>
    <w:uiPriority w:val="0"/>
    <w:rPr>
      <w:b/>
      <w:bCs/>
      <w:kern w:val="2"/>
      <w:sz w:val="21"/>
    </w:rPr>
  </w:style>
  <w:style w:type="character" w:customStyle="1" w:styleId="65">
    <w:name w:val="标题 1 字符"/>
    <w:link w:val="2"/>
    <w:autoRedefine/>
    <w:qFormat/>
    <w:uiPriority w:val="0"/>
    <w:rPr>
      <w:rFonts w:hint="default" w:ascii="Times New Roman" w:hAnsi="Times New Roman" w:eastAsia="仿宋" w:cs="Times New Roman"/>
      <w:b/>
      <w:bCs/>
      <w:kern w:val="44"/>
      <w:sz w:val="36"/>
      <w:szCs w:val="44"/>
    </w:rPr>
  </w:style>
  <w:style w:type="character" w:customStyle="1" w:styleId="66">
    <w:name w:val="标题 2 字符1"/>
    <w:link w:val="3"/>
    <w:qFormat/>
    <w:uiPriority w:val="9"/>
    <w:rPr>
      <w:rFonts w:ascii="Arial" w:hAnsi="Arial" w:eastAsia="黑体"/>
      <w:b/>
      <w:bCs/>
      <w:kern w:val="2"/>
      <w:sz w:val="32"/>
      <w:szCs w:val="32"/>
      <w:lang w:val="en-US" w:eastAsia="zh-CN" w:bidi="ar-SA"/>
    </w:rPr>
  </w:style>
  <w:style w:type="character" w:customStyle="1" w:styleId="67">
    <w:name w:val="标题 3 字符"/>
    <w:link w:val="4"/>
    <w:autoRedefine/>
    <w:qFormat/>
    <w:uiPriority w:val="0"/>
    <w:rPr>
      <w:rFonts w:hint="default" w:ascii="Times New Roman" w:hAnsi="Times New Roman" w:eastAsia="仿宋" w:cs="Times New Roman"/>
      <w:b/>
      <w:bCs/>
      <w:kern w:val="2"/>
      <w:sz w:val="30"/>
      <w:szCs w:val="32"/>
    </w:rPr>
  </w:style>
  <w:style w:type="paragraph" w:customStyle="1" w:styleId="68">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69">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0">
    <w:name w:val="font01"/>
    <w:autoRedefine/>
    <w:qFormat/>
    <w:uiPriority w:val="0"/>
    <w:rPr>
      <w:rFonts w:ascii="Wingdings 2" w:hAnsi="Wingdings 2" w:eastAsia="Wingdings 2" w:cs="Wingdings 2"/>
      <w:color w:val="000000"/>
      <w:sz w:val="20"/>
      <w:szCs w:val="20"/>
      <w:u w:val="none"/>
    </w:rPr>
  </w:style>
  <w:style w:type="character" w:customStyle="1" w:styleId="71">
    <w:name w:val="纯文本 Char1"/>
    <w:autoRedefine/>
    <w:qFormat/>
    <w:uiPriority w:val="0"/>
    <w:rPr>
      <w:rFonts w:ascii="宋体" w:hAnsi="Courier New" w:cs="Courier New"/>
      <w:kern w:val="2"/>
      <w:sz w:val="21"/>
      <w:szCs w:val="21"/>
    </w:rPr>
  </w:style>
  <w:style w:type="character" w:customStyle="1" w:styleId="72">
    <w:name w:val="lemmatitleh1"/>
    <w:qFormat/>
    <w:uiPriority w:val="0"/>
  </w:style>
  <w:style w:type="character" w:customStyle="1" w:styleId="73">
    <w:name w:val="font41"/>
    <w:qFormat/>
    <w:uiPriority w:val="0"/>
    <w:rPr>
      <w:rFonts w:hint="eastAsia" w:ascii="微软雅黑" w:hAnsi="微软雅黑" w:eastAsia="微软雅黑" w:cs="微软雅黑"/>
      <w:color w:val="000000"/>
      <w:sz w:val="20"/>
      <w:szCs w:val="20"/>
      <w:u w:val="none"/>
    </w:rPr>
  </w:style>
  <w:style w:type="character" w:customStyle="1" w:styleId="74">
    <w:name w:val="font112"/>
    <w:autoRedefine/>
    <w:qFormat/>
    <w:uiPriority w:val="0"/>
    <w:rPr>
      <w:rFonts w:hint="eastAsia" w:ascii="微软雅黑" w:hAnsi="微软雅黑" w:eastAsia="微软雅黑" w:cs="微软雅黑"/>
      <w:b/>
      <w:color w:val="000000"/>
      <w:sz w:val="20"/>
      <w:szCs w:val="20"/>
      <w:u w:val="none"/>
    </w:rPr>
  </w:style>
  <w:style w:type="paragraph" w:customStyle="1" w:styleId="75">
    <w:name w:val="xl79"/>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6">
    <w:name w:val="标准段落正文"/>
    <w:basedOn w:val="77"/>
    <w:qFormat/>
    <w:uiPriority w:val="0"/>
    <w:pPr>
      <w:ind w:firstLine="480"/>
    </w:pPr>
  </w:style>
  <w:style w:type="paragraph" w:customStyle="1" w:styleId="77">
    <w:name w:val="单括号小标题"/>
    <w:basedOn w:val="1"/>
    <w:qFormat/>
    <w:uiPriority w:val="0"/>
    <w:pPr>
      <w:spacing w:beforeLines="50" w:afterLines="100" w:line="360" w:lineRule="auto"/>
      <w:ind w:left="567"/>
      <w:jc w:val="left"/>
    </w:pPr>
    <w:rPr>
      <w:rFonts w:eastAsia="黑体"/>
      <w:sz w:val="24"/>
    </w:rPr>
  </w:style>
  <w:style w:type="paragraph" w:customStyle="1" w:styleId="78">
    <w:name w:val="样式 五号 首行缩进:  2 字符"/>
    <w:basedOn w:val="1"/>
    <w:autoRedefine/>
    <w:qFormat/>
    <w:uiPriority w:val="0"/>
    <w:pPr>
      <w:jc w:val="left"/>
    </w:pPr>
    <w:rPr>
      <w:rFonts w:ascii="宋体" w:cs="宋体"/>
      <w:kern w:val="0"/>
    </w:rPr>
  </w:style>
  <w:style w:type="paragraph" w:customStyle="1" w:styleId="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0">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1">
    <w:name w:val="Table Paragraph"/>
    <w:basedOn w:val="1"/>
    <w:autoRedefine/>
    <w:qFormat/>
    <w:uiPriority w:val="1"/>
    <w:pPr>
      <w:jc w:val="left"/>
    </w:pPr>
    <w:rPr>
      <w:rFonts w:ascii="宋体" w:hAnsi="宋体" w:cs="宋体"/>
      <w:kern w:val="0"/>
      <w:sz w:val="22"/>
      <w:szCs w:val="22"/>
      <w:lang w:eastAsia="en-US"/>
    </w:rPr>
  </w:style>
  <w:style w:type="paragraph" w:customStyle="1" w:styleId="82">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3">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4">
    <w:name w:val="xl93"/>
    <w:basedOn w:val="1"/>
    <w:autoRedefine/>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5">
    <w:name w:val="xl100"/>
    <w:basedOn w:val="1"/>
    <w:autoRedefine/>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6">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7">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8">
    <w:name w:val="xl7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0">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8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2">
    <w:name w:val="xl94"/>
    <w:basedOn w:val="1"/>
    <w:autoRedefine/>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3">
    <w:name w:val="xl89"/>
    <w:basedOn w:val="1"/>
    <w:autoRedefine/>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4">
    <w:name w:val="xl72"/>
    <w:basedOn w:val="1"/>
    <w:autoRedefine/>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5">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7">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1">
    <w:name w:val="Char"/>
    <w:basedOn w:val="1"/>
    <w:autoRedefine/>
    <w:qFormat/>
    <w:uiPriority w:val="0"/>
    <w:rPr>
      <w:szCs w:val="24"/>
    </w:rPr>
  </w:style>
  <w:style w:type="paragraph" w:styleId="102">
    <w:name w:val="List Paragraph"/>
    <w:basedOn w:val="1"/>
    <w:next w:val="1"/>
    <w:qFormat/>
    <w:uiPriority w:val="34"/>
    <w:pPr>
      <w:ind w:firstLine="420" w:firstLineChars="200"/>
    </w:pPr>
    <w:rPr>
      <w:szCs w:val="24"/>
    </w:rPr>
  </w:style>
  <w:style w:type="paragraph" w:customStyle="1" w:styleId="103">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abc"/>
    <w:basedOn w:val="1"/>
    <w:autoRedefine/>
    <w:qFormat/>
    <w:uiPriority w:val="0"/>
    <w:pPr>
      <w:tabs>
        <w:tab w:val="left" w:pos="720"/>
      </w:tabs>
      <w:adjustRightInd w:val="0"/>
      <w:spacing w:line="500" w:lineRule="atLeast"/>
      <w:textAlignment w:val="baseline"/>
    </w:pPr>
    <w:rPr>
      <w:rFonts w:ascii="宋体"/>
      <w:kern w:val="0"/>
      <w:sz w:val="28"/>
    </w:rPr>
  </w:style>
  <w:style w:type="paragraph" w:customStyle="1" w:styleId="105">
    <w:name w:val="xl70"/>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6">
    <w:name w:val="xl99"/>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7">
    <w:name w:val="Char1"/>
    <w:basedOn w:val="1"/>
    <w:autoRedefine/>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8">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0">
    <w:name w:val="列出段落1"/>
    <w:basedOn w:val="1"/>
    <w:autoRedefine/>
    <w:qFormat/>
    <w:uiPriority w:val="99"/>
    <w:pPr>
      <w:ind w:firstLine="420" w:firstLineChars="200"/>
    </w:pPr>
    <w:rPr>
      <w:szCs w:val="24"/>
    </w:rPr>
  </w:style>
  <w:style w:type="paragraph" w:customStyle="1" w:styleId="111">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2">
    <w:name w:val="xl105"/>
    <w:basedOn w:val="1"/>
    <w:autoRedefine/>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3">
    <w:name w:val="xl92"/>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5">
    <w:name w:val="xl71"/>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6">
    <w:name w:val="样式 标题 3标题 3（cht）标题 3+宋体+三号1.1.1Char标题 3 Char条标题1.1.1标题 33...1"/>
    <w:basedOn w:val="4"/>
    <w:autoRedefine/>
    <w:qFormat/>
    <w:uiPriority w:val="0"/>
    <w:pPr>
      <w:keepNext w:val="0"/>
      <w:keepLines w:val="0"/>
      <w:spacing w:before="0" w:after="0" w:line="240" w:lineRule="auto"/>
    </w:pPr>
    <w:rPr>
      <w:rFonts w:ascii="宋体" w:hAnsi="宋体" w:cs="宋体"/>
      <w:sz w:val="21"/>
      <w:szCs w:val="20"/>
    </w:rPr>
  </w:style>
  <w:style w:type="paragraph" w:customStyle="1" w:styleId="117">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9">
    <w:name w:val="CM26"/>
    <w:basedOn w:val="118"/>
    <w:next w:val="118"/>
    <w:autoRedefine/>
    <w:qFormat/>
    <w:uiPriority w:val="99"/>
    <w:rPr>
      <w:rFonts w:cs="Times New Roman"/>
      <w:color w:val="auto"/>
    </w:rPr>
  </w:style>
  <w:style w:type="paragraph" w:customStyle="1" w:styleId="120">
    <w:name w:val="CM21"/>
    <w:basedOn w:val="118"/>
    <w:next w:val="118"/>
    <w:autoRedefine/>
    <w:qFormat/>
    <w:uiPriority w:val="99"/>
    <w:rPr>
      <w:rFonts w:cs="Times New Roman"/>
      <w:color w:val="auto"/>
    </w:rPr>
  </w:style>
  <w:style w:type="paragraph" w:customStyle="1" w:styleId="121">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2">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3">
    <w:name w:val="xl96"/>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4">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7">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8">
    <w:name w:val="样式1"/>
    <w:basedOn w:val="1"/>
    <w:autoRedefine/>
    <w:qFormat/>
    <w:uiPriority w:val="0"/>
    <w:pPr>
      <w:keepNext/>
      <w:keepLines/>
      <w:topLinePunct/>
      <w:spacing w:line="960" w:lineRule="auto"/>
      <w:jc w:val="center"/>
    </w:pPr>
    <w:rPr>
      <w:rFonts w:eastAsia="黑体"/>
      <w:sz w:val="28"/>
      <w:szCs w:val="28"/>
    </w:rPr>
  </w:style>
  <w:style w:type="paragraph" w:customStyle="1" w:styleId="129">
    <w:name w:val="xl8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6"/>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3"/>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4"/>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修订1"/>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2861</Words>
  <Characters>16308</Characters>
  <Lines>135</Lines>
  <Paragraphs>38</Paragraphs>
  <TotalTime>7</TotalTime>
  <ScaleCrop>false</ScaleCrop>
  <LinksUpToDate>false</LinksUpToDate>
  <CharactersWithSpaces>19131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刘克立</cp:lastModifiedBy>
  <cp:lastPrinted>2019-10-30T09:31:00Z</cp:lastPrinted>
  <dcterms:modified xsi:type="dcterms:W3CDTF">2024-01-04T09:10:26Z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C01DD866956272D3B7DFD164A11C4B9F_43</vt:lpwstr>
  </property>
</Properties>
</file>